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82A34" w14:textId="77777777" w:rsidR="00FF380F" w:rsidRPr="002625F3" w:rsidRDefault="00FF380F" w:rsidP="00A05E55">
      <w:pPr>
        <w:pStyle w:val="BATitle"/>
        <w:rPr>
          <w:b/>
          <w:bCs/>
        </w:rPr>
      </w:pPr>
      <w:bookmarkStart w:id="0" w:name="_Hlk112795034"/>
      <w:r w:rsidRPr="002625F3">
        <w:rPr>
          <w:b/>
          <w:bCs/>
        </w:rPr>
        <w:t xml:space="preserve">Predictions of the poses and affinity of a ligand over the entire surface of a NEET protein: the case of human </w:t>
      </w:r>
      <w:proofErr w:type="spellStart"/>
      <w:r w:rsidRPr="002625F3">
        <w:rPr>
          <w:b/>
          <w:bCs/>
        </w:rPr>
        <w:t>mitoNEET</w:t>
      </w:r>
      <w:proofErr w:type="spellEnd"/>
    </w:p>
    <w:p w14:paraId="4AD7D8A5" w14:textId="77777777" w:rsidR="00FF380F" w:rsidRPr="00C4572E" w:rsidRDefault="00FF380F" w:rsidP="00A05E55">
      <w:pPr>
        <w:pStyle w:val="BBAuthorName"/>
        <w:rPr>
          <w:szCs w:val="24"/>
          <w:lang w:val="it-IT"/>
        </w:rPr>
      </w:pPr>
      <w:bookmarkStart w:id="1" w:name="_Hlk112851408"/>
      <w:r w:rsidRPr="00C4572E">
        <w:rPr>
          <w:rFonts w:hint="eastAsia"/>
          <w:szCs w:val="24"/>
          <w:lang w:val="it-IT" w:eastAsia="zh-CN"/>
        </w:rPr>
        <w:t>Ke</w:t>
      </w:r>
      <w:r w:rsidRPr="00C4572E">
        <w:rPr>
          <w:szCs w:val="24"/>
          <w:lang w:val="it-IT"/>
        </w:rPr>
        <w:t xml:space="preserve"> Zuo</w:t>
      </w:r>
      <w:r w:rsidRPr="00C4572E">
        <w:rPr>
          <w:i w:val="0"/>
          <w:iCs/>
          <w:szCs w:val="24"/>
          <w:vertAlign w:val="superscript"/>
          <w:lang w:val="it-IT"/>
        </w:rPr>
        <w:t>a,b,c,d</w:t>
      </w:r>
      <w:r w:rsidRPr="00C4572E">
        <w:rPr>
          <w:szCs w:val="24"/>
          <w:lang w:val="it-IT"/>
        </w:rPr>
        <w:t>, Riccardo Capelli</w:t>
      </w:r>
      <w:r w:rsidRPr="00C4572E">
        <w:rPr>
          <w:i w:val="0"/>
          <w:iCs/>
          <w:szCs w:val="24"/>
          <w:vertAlign w:val="superscript"/>
          <w:lang w:val="it-IT"/>
        </w:rPr>
        <w:t>e</w:t>
      </w:r>
      <w:r w:rsidRPr="00C4572E">
        <w:rPr>
          <w:szCs w:val="24"/>
          <w:lang w:val="it-IT"/>
        </w:rPr>
        <w:t>, Giulia Rossetti</w:t>
      </w:r>
      <w:r w:rsidRPr="00C4572E">
        <w:rPr>
          <w:i w:val="0"/>
          <w:iCs/>
          <w:szCs w:val="24"/>
          <w:vertAlign w:val="superscript"/>
          <w:lang w:val="it-IT"/>
        </w:rPr>
        <w:t>c,f,g</w:t>
      </w:r>
      <w:r w:rsidRPr="00C4572E">
        <w:rPr>
          <w:szCs w:val="24"/>
          <w:lang w:val="it-IT"/>
        </w:rPr>
        <w:t>, Rachel Nechushtai</w:t>
      </w:r>
      <w:r w:rsidRPr="00C4572E">
        <w:rPr>
          <w:i w:val="0"/>
          <w:iCs/>
          <w:szCs w:val="24"/>
          <w:vertAlign w:val="superscript"/>
          <w:lang w:val="it-IT"/>
        </w:rPr>
        <w:t>a</w:t>
      </w:r>
      <w:r w:rsidRPr="00C4572E">
        <w:rPr>
          <w:szCs w:val="24"/>
          <w:lang w:val="it-IT"/>
        </w:rPr>
        <w:t>, Paolo Carloni</w:t>
      </w:r>
      <w:r w:rsidRPr="00C4572E">
        <w:rPr>
          <w:i w:val="0"/>
          <w:iCs/>
          <w:szCs w:val="24"/>
          <w:vertAlign w:val="superscript"/>
          <w:lang w:val="it-IT"/>
        </w:rPr>
        <w:t>b,c,h,*</w:t>
      </w:r>
    </w:p>
    <w:bookmarkEnd w:id="1"/>
    <w:p w14:paraId="559EFDEB" w14:textId="77777777" w:rsidR="00FF380F" w:rsidRPr="002625F3" w:rsidRDefault="00FF380F" w:rsidP="009E3B85">
      <w:pPr>
        <w:pStyle w:val="BCAuthorAddress"/>
        <w:rPr>
          <w:szCs w:val="24"/>
          <w:lang w:eastAsia="zh-CN"/>
        </w:rPr>
      </w:pPr>
      <w:proofErr w:type="spellStart"/>
      <w:r w:rsidRPr="002625F3">
        <w:rPr>
          <w:szCs w:val="24"/>
          <w:vertAlign w:val="superscript"/>
          <w:lang w:eastAsia="zh-CN"/>
        </w:rPr>
        <w:t>a</w:t>
      </w:r>
      <w:proofErr w:type="spellEnd"/>
      <w:r w:rsidRPr="002625F3">
        <w:rPr>
          <w:szCs w:val="24"/>
          <w:lang w:eastAsia="zh-CN"/>
        </w:rPr>
        <w:t xml:space="preserve"> The Alexander Silberman Institute of Life Science, The Hebrew University of Jerusalem, Edmond J. </w:t>
      </w:r>
      <w:proofErr w:type="spellStart"/>
      <w:r w:rsidRPr="002625F3">
        <w:rPr>
          <w:szCs w:val="24"/>
          <w:lang w:eastAsia="zh-CN"/>
        </w:rPr>
        <w:t>Safra</w:t>
      </w:r>
      <w:proofErr w:type="spellEnd"/>
      <w:r w:rsidRPr="002625F3">
        <w:rPr>
          <w:szCs w:val="24"/>
          <w:lang w:eastAsia="zh-CN"/>
        </w:rPr>
        <w:t xml:space="preserve"> Campus at </w:t>
      </w:r>
      <w:proofErr w:type="spellStart"/>
      <w:r w:rsidRPr="002625F3">
        <w:rPr>
          <w:szCs w:val="24"/>
          <w:lang w:eastAsia="zh-CN"/>
        </w:rPr>
        <w:t>Givat</w:t>
      </w:r>
      <w:proofErr w:type="spellEnd"/>
      <w:r w:rsidRPr="002625F3">
        <w:rPr>
          <w:szCs w:val="24"/>
          <w:lang w:eastAsia="zh-CN"/>
        </w:rPr>
        <w:t xml:space="preserve"> Ram, 91904 Jerusalem, Israel</w:t>
      </w:r>
    </w:p>
    <w:p w14:paraId="4F800141" w14:textId="77777777" w:rsidR="00FF380F" w:rsidRPr="002625F3" w:rsidRDefault="00FF380F" w:rsidP="009C4FD7">
      <w:pPr>
        <w:pStyle w:val="BCAuthorAddress"/>
        <w:rPr>
          <w:szCs w:val="24"/>
        </w:rPr>
      </w:pPr>
      <w:r w:rsidRPr="002625F3">
        <w:rPr>
          <w:szCs w:val="24"/>
          <w:vertAlign w:val="superscript"/>
        </w:rPr>
        <w:t>b</w:t>
      </w:r>
      <w:r w:rsidRPr="002625F3">
        <w:rPr>
          <w:szCs w:val="24"/>
        </w:rPr>
        <w:t xml:space="preserve"> Department of Physics, RWTH Aachen University, 52074 Aachen, Germany</w:t>
      </w:r>
    </w:p>
    <w:p w14:paraId="7CBCEF21" w14:textId="77777777" w:rsidR="00FF380F" w:rsidRPr="002625F3" w:rsidRDefault="00FF380F" w:rsidP="00754651">
      <w:pPr>
        <w:pStyle w:val="BCAuthorAddress"/>
        <w:rPr>
          <w:szCs w:val="24"/>
        </w:rPr>
      </w:pPr>
      <w:r w:rsidRPr="002625F3">
        <w:rPr>
          <w:szCs w:val="24"/>
          <w:vertAlign w:val="superscript"/>
          <w:lang w:eastAsia="zh-CN"/>
        </w:rPr>
        <w:t>c</w:t>
      </w:r>
      <w:r w:rsidRPr="002625F3">
        <w:rPr>
          <w:szCs w:val="24"/>
          <w:lang w:eastAsia="zh-CN"/>
        </w:rPr>
        <w:t xml:space="preserve"> Computational Biomedicine, Institute of Advanced Simulation IAS‑5 and Institute of Neuroscience and Medicine INM‑9, </w:t>
      </w:r>
      <w:proofErr w:type="spellStart"/>
      <w:r w:rsidRPr="002625F3">
        <w:rPr>
          <w:szCs w:val="24"/>
          <w:lang w:eastAsia="zh-CN"/>
        </w:rPr>
        <w:t>Forschungszentrum</w:t>
      </w:r>
      <w:proofErr w:type="spellEnd"/>
      <w:r w:rsidRPr="002625F3">
        <w:rPr>
          <w:szCs w:val="24"/>
          <w:lang w:eastAsia="zh-CN"/>
        </w:rPr>
        <w:t xml:space="preserve"> </w:t>
      </w:r>
      <w:proofErr w:type="spellStart"/>
      <w:r w:rsidRPr="002625F3">
        <w:rPr>
          <w:szCs w:val="24"/>
          <w:lang w:eastAsia="zh-CN"/>
        </w:rPr>
        <w:t>Jülich</w:t>
      </w:r>
      <w:proofErr w:type="spellEnd"/>
      <w:r w:rsidRPr="002625F3">
        <w:rPr>
          <w:szCs w:val="24"/>
          <w:lang w:eastAsia="zh-CN"/>
        </w:rPr>
        <w:t xml:space="preserve"> GmbH, 52425 </w:t>
      </w:r>
      <w:proofErr w:type="spellStart"/>
      <w:r w:rsidRPr="002625F3">
        <w:rPr>
          <w:szCs w:val="24"/>
          <w:lang w:eastAsia="zh-CN"/>
        </w:rPr>
        <w:t>Jülich</w:t>
      </w:r>
      <w:proofErr w:type="spellEnd"/>
      <w:r w:rsidRPr="002625F3">
        <w:rPr>
          <w:szCs w:val="24"/>
          <w:lang w:eastAsia="zh-CN"/>
        </w:rPr>
        <w:t xml:space="preserve">, Germany </w:t>
      </w:r>
    </w:p>
    <w:p w14:paraId="772EC0FE" w14:textId="77777777" w:rsidR="00FF380F" w:rsidRPr="00F163B1" w:rsidRDefault="00FF380F" w:rsidP="00754651">
      <w:pPr>
        <w:pStyle w:val="BCAuthorAddress"/>
        <w:rPr>
          <w:szCs w:val="24"/>
          <w:lang w:val="it-IT" w:eastAsia="zh-CN"/>
        </w:rPr>
      </w:pPr>
      <w:r w:rsidRPr="00F163B1">
        <w:rPr>
          <w:rFonts w:hint="eastAsia"/>
          <w:szCs w:val="24"/>
          <w:vertAlign w:val="superscript"/>
          <w:lang w:val="it-IT" w:eastAsia="zh-CN"/>
        </w:rPr>
        <w:t>d</w:t>
      </w:r>
      <w:r w:rsidRPr="00F163B1">
        <w:rPr>
          <w:szCs w:val="24"/>
          <w:lang w:val="it-IT" w:eastAsia="zh-CN"/>
        </w:rPr>
        <w:t xml:space="preserve"> Department of Physics, Universit</w:t>
      </w:r>
      <w:r w:rsidRPr="002625F3">
        <w:rPr>
          <w:szCs w:val="24"/>
          <w:lang w:val="it-IT" w:eastAsia="zh-CN"/>
        </w:rPr>
        <w:t>à</w:t>
      </w:r>
      <w:r w:rsidRPr="00F163B1">
        <w:rPr>
          <w:szCs w:val="24"/>
          <w:lang w:val="it-IT" w:eastAsia="zh-CN"/>
        </w:rPr>
        <w:t xml:space="preserve"> di Ferrara, 441</w:t>
      </w:r>
      <w:r>
        <w:rPr>
          <w:szCs w:val="24"/>
          <w:lang w:val="it-IT" w:eastAsia="zh-CN"/>
        </w:rPr>
        <w:t>21</w:t>
      </w:r>
      <w:r w:rsidRPr="00F163B1">
        <w:rPr>
          <w:szCs w:val="24"/>
          <w:lang w:val="it-IT" w:eastAsia="zh-CN"/>
        </w:rPr>
        <w:t xml:space="preserve"> Ferrara, Italy</w:t>
      </w:r>
      <w:r w:rsidRPr="00F163B1">
        <w:rPr>
          <w:szCs w:val="24"/>
          <w:lang w:val="it-IT" w:eastAsia="zh-CN"/>
        </w:rPr>
        <w:cr/>
      </w:r>
      <w:r w:rsidRPr="00F163B1">
        <w:rPr>
          <w:szCs w:val="24"/>
          <w:vertAlign w:val="superscript"/>
          <w:lang w:val="it-IT" w:eastAsia="zh-CN"/>
        </w:rPr>
        <w:t>e</w:t>
      </w:r>
      <w:r w:rsidRPr="00F163B1">
        <w:rPr>
          <w:szCs w:val="24"/>
          <w:lang w:val="it-IT" w:eastAsia="zh-CN"/>
        </w:rPr>
        <w:t xml:space="preserve"> Department of Biosciences, Università degli Studi di Milano, Via Celoria 26, 20133 Milan, Italy</w:t>
      </w:r>
    </w:p>
    <w:p w14:paraId="57AEC1CA" w14:textId="77777777" w:rsidR="00FF380F" w:rsidRPr="002625F3" w:rsidRDefault="00FF380F" w:rsidP="00754651">
      <w:pPr>
        <w:pStyle w:val="BCAuthorAddress"/>
        <w:rPr>
          <w:szCs w:val="24"/>
          <w:lang w:val="de-DE" w:eastAsia="zh-CN"/>
        </w:rPr>
      </w:pPr>
      <w:r w:rsidRPr="002625F3">
        <w:rPr>
          <w:rFonts w:hint="eastAsia"/>
          <w:szCs w:val="24"/>
          <w:vertAlign w:val="superscript"/>
          <w:lang w:val="de-DE" w:eastAsia="zh-CN"/>
        </w:rPr>
        <w:t>f</w:t>
      </w:r>
      <w:r w:rsidRPr="002625F3">
        <w:rPr>
          <w:szCs w:val="24"/>
          <w:lang w:val="de-DE" w:eastAsia="zh-CN"/>
        </w:rPr>
        <w:t xml:space="preserve"> Jülich Supercomputing Center (JSC), Forschungszentrum Jülich GmbH, 52425 Jülich, Germany</w:t>
      </w:r>
    </w:p>
    <w:p w14:paraId="664D436A" w14:textId="77777777" w:rsidR="00FF380F" w:rsidRPr="002625F3" w:rsidRDefault="00FF380F" w:rsidP="00A75DB0">
      <w:pPr>
        <w:pStyle w:val="BCAuthorAddress"/>
        <w:rPr>
          <w:szCs w:val="24"/>
          <w:lang w:eastAsia="zh-CN"/>
        </w:rPr>
      </w:pPr>
      <w:r w:rsidRPr="002625F3">
        <w:rPr>
          <w:szCs w:val="24"/>
          <w:vertAlign w:val="superscript"/>
          <w:lang w:eastAsia="zh-CN"/>
        </w:rPr>
        <w:lastRenderedPageBreak/>
        <w:t>g</w:t>
      </w:r>
      <w:r w:rsidRPr="002625F3">
        <w:rPr>
          <w:szCs w:val="24"/>
          <w:lang w:eastAsia="zh-CN"/>
        </w:rPr>
        <w:t xml:space="preserve"> Department of Neurology, Faculty of Medicine, RWTH Aachen University, 52074 Aachen, Germany</w:t>
      </w:r>
    </w:p>
    <w:p w14:paraId="3D201BF7" w14:textId="77777777" w:rsidR="00FF380F" w:rsidRPr="002625F3" w:rsidRDefault="00FF380F" w:rsidP="00A75DB0">
      <w:pPr>
        <w:pStyle w:val="BCAuthorAddress"/>
        <w:rPr>
          <w:szCs w:val="24"/>
          <w:lang w:eastAsia="zh-CN"/>
        </w:rPr>
      </w:pPr>
      <w:r w:rsidRPr="002625F3">
        <w:rPr>
          <w:szCs w:val="24"/>
          <w:vertAlign w:val="superscript"/>
          <w:lang w:eastAsia="zh-CN"/>
        </w:rPr>
        <w:t>h</w:t>
      </w:r>
      <w:r w:rsidRPr="002625F3">
        <w:rPr>
          <w:szCs w:val="24"/>
          <w:lang w:eastAsia="zh-CN"/>
        </w:rPr>
        <w:t xml:space="preserve"> JARA Institute: Molecular Neuroscience and Imaging, Institute of Neuroscience and Medicine INM‑11, </w:t>
      </w:r>
      <w:proofErr w:type="spellStart"/>
      <w:r w:rsidRPr="002625F3">
        <w:rPr>
          <w:szCs w:val="24"/>
          <w:lang w:eastAsia="zh-CN"/>
        </w:rPr>
        <w:t>Forschungszentrum</w:t>
      </w:r>
      <w:proofErr w:type="spellEnd"/>
      <w:r w:rsidRPr="002625F3">
        <w:rPr>
          <w:szCs w:val="24"/>
          <w:lang w:eastAsia="zh-CN"/>
        </w:rPr>
        <w:t xml:space="preserve"> </w:t>
      </w:r>
      <w:proofErr w:type="spellStart"/>
      <w:r w:rsidRPr="002625F3">
        <w:rPr>
          <w:szCs w:val="24"/>
          <w:lang w:eastAsia="zh-CN"/>
        </w:rPr>
        <w:t>Jülich</w:t>
      </w:r>
      <w:proofErr w:type="spellEnd"/>
      <w:r w:rsidRPr="002625F3">
        <w:rPr>
          <w:szCs w:val="24"/>
          <w:lang w:eastAsia="zh-CN"/>
        </w:rPr>
        <w:t xml:space="preserve"> GmbH, 52425 </w:t>
      </w:r>
      <w:proofErr w:type="spellStart"/>
      <w:r w:rsidRPr="002625F3">
        <w:rPr>
          <w:szCs w:val="24"/>
          <w:lang w:eastAsia="zh-CN"/>
        </w:rPr>
        <w:t>Jülich</w:t>
      </w:r>
      <w:proofErr w:type="spellEnd"/>
      <w:r w:rsidRPr="002625F3">
        <w:rPr>
          <w:szCs w:val="24"/>
          <w:lang w:eastAsia="zh-CN"/>
        </w:rPr>
        <w:t>, Germany</w:t>
      </w:r>
    </w:p>
    <w:bookmarkEnd w:id="0"/>
    <w:p w14:paraId="13DDA022" w14:textId="77777777" w:rsidR="00FF380F" w:rsidRPr="000B68C1" w:rsidRDefault="00FF380F" w:rsidP="009E3B85">
      <w:pPr>
        <w:pStyle w:val="AIReceivedDate"/>
        <w:rPr>
          <w:b w:val="0"/>
          <w:bCs/>
          <w:sz w:val="16"/>
          <w:szCs w:val="16"/>
          <w:lang w:eastAsia="zh-CN"/>
        </w:rPr>
      </w:pPr>
    </w:p>
    <w:p w14:paraId="3855042E" w14:textId="77777777" w:rsidR="00FF380F" w:rsidRPr="002625F3" w:rsidRDefault="00FF380F" w:rsidP="0060753A">
      <w:pPr>
        <w:pStyle w:val="FACorrespondingAuthorFootnote"/>
        <w:spacing w:after="0"/>
        <w:rPr>
          <w:szCs w:val="24"/>
        </w:rPr>
      </w:pPr>
      <w:r w:rsidRPr="002625F3">
        <w:rPr>
          <w:b/>
          <w:bCs/>
          <w:szCs w:val="24"/>
        </w:rPr>
        <w:t>Keywords:</w:t>
      </w:r>
      <w:r w:rsidRPr="002625F3">
        <w:rPr>
          <w:szCs w:val="24"/>
        </w:rPr>
        <w:t xml:space="preserve"> NEET proteins, </w:t>
      </w:r>
      <w:proofErr w:type="spellStart"/>
      <w:r w:rsidRPr="002625F3">
        <w:rPr>
          <w:szCs w:val="24"/>
        </w:rPr>
        <w:t>mitoNEET</w:t>
      </w:r>
      <w:proofErr w:type="spellEnd"/>
      <w:r w:rsidRPr="002625F3">
        <w:rPr>
          <w:szCs w:val="24"/>
        </w:rPr>
        <w:t xml:space="preserve">, binding poses, binding free energy, molecular dynamics, </w:t>
      </w:r>
      <w:proofErr w:type="spellStart"/>
      <w:r w:rsidRPr="002625F3">
        <w:rPr>
          <w:szCs w:val="24"/>
        </w:rPr>
        <w:t>metadynamics</w:t>
      </w:r>
      <w:proofErr w:type="spellEnd"/>
      <w:r w:rsidRPr="002625F3">
        <w:rPr>
          <w:szCs w:val="24"/>
        </w:rPr>
        <w:t xml:space="preserve">, </w:t>
      </w:r>
    </w:p>
    <w:p w14:paraId="308E2BA8" w14:textId="77777777" w:rsidR="00FF380F" w:rsidRPr="000B68C1" w:rsidRDefault="00FF380F" w:rsidP="00324128">
      <w:pPr>
        <w:pStyle w:val="FACorrespondingAuthorFootnote"/>
        <w:spacing w:after="240"/>
        <w:jc w:val="left"/>
        <w:rPr>
          <w:sz w:val="16"/>
          <w:szCs w:val="16"/>
        </w:rPr>
      </w:pPr>
    </w:p>
    <w:p w14:paraId="592DA8CB" w14:textId="77777777" w:rsidR="00FF380F" w:rsidRPr="002625F3" w:rsidRDefault="00FF380F" w:rsidP="002625F3">
      <w:pPr>
        <w:pStyle w:val="BDAbstract"/>
        <w:rPr>
          <w:szCs w:val="24"/>
        </w:rPr>
      </w:pPr>
      <w:r w:rsidRPr="002625F3">
        <w:rPr>
          <w:b/>
          <w:bCs/>
          <w:szCs w:val="24"/>
        </w:rPr>
        <w:t>Abstract:</w:t>
      </w:r>
      <w:r w:rsidRPr="002625F3">
        <w:rPr>
          <w:szCs w:val="24"/>
        </w:rPr>
        <w:t xml:space="preserve"> Human NEET proteins contain two [2Fe</w:t>
      </w:r>
      <w:r w:rsidRPr="002625F3">
        <w:rPr>
          <w:rFonts w:eastAsia="Times New Roman"/>
          <w:szCs w:val="24"/>
        </w:rPr>
        <w:t>–</w:t>
      </w:r>
      <w:r w:rsidRPr="002625F3">
        <w:rPr>
          <w:szCs w:val="24"/>
        </w:rPr>
        <w:t xml:space="preserve">2S] iron-sulfur clusters, bound to three </w:t>
      </w:r>
      <w:proofErr w:type="spellStart"/>
      <w:r w:rsidRPr="002625F3">
        <w:rPr>
          <w:szCs w:val="24"/>
        </w:rPr>
        <w:t>Cys</w:t>
      </w:r>
      <w:proofErr w:type="spellEnd"/>
      <w:r w:rsidRPr="002625F3">
        <w:rPr>
          <w:szCs w:val="24"/>
        </w:rPr>
        <w:t xml:space="preserve"> and one His residue. They exist in two redox states. Recently, these proteins have revealed themselves as attractive drug targets for mitochondrial dysfunction-related diseases, such as type 2 diabetes, Wolfram syndrome 2, and cancers. Unfortunately, the lack of information </w:t>
      </w:r>
      <w:r>
        <w:rPr>
          <w:szCs w:val="24"/>
        </w:rPr>
        <w:t xml:space="preserve">and mechanistic understanding on ligands </w:t>
      </w:r>
      <w:r w:rsidRPr="002625F3">
        <w:rPr>
          <w:szCs w:val="24"/>
        </w:rPr>
        <w:t xml:space="preserve">binding to the </w:t>
      </w:r>
      <w:r>
        <w:rPr>
          <w:szCs w:val="24"/>
        </w:rPr>
        <w:t>whole functional, cytoplasmatic domain</w:t>
      </w:r>
      <w:r w:rsidRPr="002625F3">
        <w:rPr>
          <w:szCs w:val="24"/>
        </w:rPr>
        <w:t xml:space="preserve"> has limited rational drug design</w:t>
      </w:r>
      <w:r>
        <w:rPr>
          <w:szCs w:val="24"/>
        </w:rPr>
        <w:t xml:space="preserve"> </w:t>
      </w:r>
      <w:r w:rsidRPr="002625F3">
        <w:rPr>
          <w:szCs w:val="24"/>
        </w:rPr>
        <w:t xml:space="preserve">approaches. Here we use </w:t>
      </w:r>
      <w:r>
        <w:rPr>
          <w:szCs w:val="24"/>
        </w:rPr>
        <w:t xml:space="preserve">an enhanced sampling technique, </w:t>
      </w:r>
      <w:r w:rsidRPr="002625F3">
        <w:rPr>
          <w:szCs w:val="24"/>
        </w:rPr>
        <w:t xml:space="preserve">volume-based </w:t>
      </w:r>
      <w:proofErr w:type="spellStart"/>
      <w:r>
        <w:rPr>
          <w:szCs w:val="24"/>
        </w:rPr>
        <w:t>metadynamics</w:t>
      </w:r>
      <w:proofErr w:type="spellEnd"/>
      <w:r>
        <w:rPr>
          <w:szCs w:val="24"/>
        </w:rPr>
        <w:t xml:space="preserve">, recently developed by a team involving some of us, </w:t>
      </w:r>
      <w:r w:rsidRPr="002625F3">
        <w:rPr>
          <w:szCs w:val="24"/>
        </w:rPr>
        <w:t>to predict the poses and affinity of 2-benzamido-4-(1,2,3,4-tetrahydronaphthalen-2-yl)-thiophene-3-carboxylate</w:t>
      </w:r>
      <w:r>
        <w:rPr>
          <w:szCs w:val="24"/>
        </w:rPr>
        <w:t xml:space="preserve"> ligand</w:t>
      </w:r>
      <w:r w:rsidRPr="002625F3">
        <w:rPr>
          <w:szCs w:val="24"/>
        </w:rPr>
        <w:t xml:space="preserve"> to the </w:t>
      </w:r>
      <w:r>
        <w:rPr>
          <w:szCs w:val="24"/>
        </w:rPr>
        <w:t xml:space="preserve">entire surface of the cytoplasmatic domain of the </w:t>
      </w:r>
      <w:r w:rsidRPr="002625F3">
        <w:rPr>
          <w:szCs w:val="24"/>
        </w:rPr>
        <w:t xml:space="preserve">human NEET protein </w:t>
      </w:r>
      <w:proofErr w:type="spellStart"/>
      <w:r w:rsidRPr="002625F3">
        <w:rPr>
          <w:szCs w:val="24"/>
        </w:rPr>
        <w:t>m</w:t>
      </w:r>
      <w:r>
        <w:rPr>
          <w:szCs w:val="24"/>
        </w:rPr>
        <w:t>ito</w:t>
      </w:r>
      <w:r w:rsidRPr="002625F3">
        <w:rPr>
          <w:szCs w:val="24"/>
        </w:rPr>
        <w:t>N</w:t>
      </w:r>
      <w:r>
        <w:rPr>
          <w:szCs w:val="24"/>
        </w:rPr>
        <w:t>EE</w:t>
      </w:r>
      <w:r w:rsidRPr="002625F3">
        <w:rPr>
          <w:szCs w:val="24"/>
        </w:rPr>
        <w:t>T</w:t>
      </w:r>
      <w:proofErr w:type="spellEnd"/>
      <w:r w:rsidRPr="002625F3">
        <w:rPr>
          <w:szCs w:val="24"/>
        </w:rPr>
        <w:t xml:space="preserve"> </w:t>
      </w:r>
      <w:r>
        <w:rPr>
          <w:szCs w:val="24"/>
        </w:rPr>
        <w:t>(</w:t>
      </w:r>
      <w:proofErr w:type="spellStart"/>
      <w:r>
        <w:rPr>
          <w:szCs w:val="24"/>
        </w:rPr>
        <w:t>mNT</w:t>
      </w:r>
      <w:proofErr w:type="spellEnd"/>
      <w:r>
        <w:rPr>
          <w:szCs w:val="24"/>
        </w:rPr>
        <w:t xml:space="preserve">) </w:t>
      </w:r>
      <w:r w:rsidRPr="002625F3">
        <w:rPr>
          <w:szCs w:val="24"/>
        </w:rPr>
        <w:t>in an aqueous solution. The calculations</w:t>
      </w:r>
      <w:r>
        <w:rPr>
          <w:szCs w:val="24"/>
        </w:rPr>
        <w:t>,</w:t>
      </w:r>
      <w:r w:rsidRPr="002625F3">
        <w:rPr>
          <w:szCs w:val="24"/>
        </w:rPr>
        <w:t xml:space="preserve"> based on </w:t>
      </w:r>
      <w:r>
        <w:rPr>
          <w:szCs w:val="24"/>
        </w:rPr>
        <w:t>the</w:t>
      </w:r>
      <w:r w:rsidRPr="002625F3">
        <w:rPr>
          <w:szCs w:val="24"/>
        </w:rPr>
        <w:t xml:space="preserve"> recently published X-ray structure of the complex, </w:t>
      </w:r>
      <w:r>
        <w:rPr>
          <w:szCs w:val="24"/>
        </w:rPr>
        <w:t xml:space="preserve">are consistent with the </w:t>
      </w:r>
      <w:r w:rsidRPr="002625F3">
        <w:rPr>
          <w:szCs w:val="24"/>
        </w:rPr>
        <w:t xml:space="preserve">measured affinity. </w:t>
      </w:r>
      <w:r>
        <w:rPr>
          <w:szCs w:val="24"/>
        </w:rPr>
        <w:t>T</w:t>
      </w:r>
      <w:r w:rsidRPr="002625F3">
        <w:rPr>
          <w:szCs w:val="24"/>
        </w:rPr>
        <w:t xml:space="preserve">he </w:t>
      </w:r>
      <w:r>
        <w:rPr>
          <w:szCs w:val="24"/>
        </w:rPr>
        <w:t xml:space="preserve">calculated </w:t>
      </w:r>
      <w:r w:rsidRPr="002625F3">
        <w:rPr>
          <w:szCs w:val="24"/>
        </w:rPr>
        <w:t xml:space="preserve">free energy landscape </w:t>
      </w:r>
      <w:r>
        <w:rPr>
          <w:szCs w:val="24"/>
        </w:rPr>
        <w:t>revealed that</w:t>
      </w:r>
      <w:r w:rsidRPr="002625F3">
        <w:rPr>
          <w:szCs w:val="24"/>
        </w:rPr>
        <w:t xml:space="preserve"> </w:t>
      </w:r>
      <w:r>
        <w:rPr>
          <w:szCs w:val="24"/>
        </w:rPr>
        <w:t xml:space="preserve">the ligand can bind in </w:t>
      </w:r>
      <w:r w:rsidRPr="002625F3">
        <w:rPr>
          <w:szCs w:val="24"/>
        </w:rPr>
        <w:t xml:space="preserve">multiple sites and </w:t>
      </w:r>
      <w:r>
        <w:rPr>
          <w:szCs w:val="24"/>
        </w:rPr>
        <w:t xml:space="preserve">with </w:t>
      </w:r>
      <w:r w:rsidRPr="002625F3">
        <w:rPr>
          <w:szCs w:val="24"/>
        </w:rPr>
        <w:t>poses</w:t>
      </w:r>
      <w:r>
        <w:rPr>
          <w:szCs w:val="24"/>
        </w:rPr>
        <w:t xml:space="preserve"> other than the one found in the X-ray</w:t>
      </w:r>
      <w:r w:rsidRPr="002625F3">
        <w:rPr>
          <w:szCs w:val="24"/>
        </w:rPr>
        <w:t>.</w:t>
      </w:r>
      <w:r>
        <w:rPr>
          <w:szCs w:val="24"/>
        </w:rPr>
        <w:t xml:space="preserve"> This difference is likely to be caused by</w:t>
      </w:r>
      <w:r w:rsidRPr="002625F3">
        <w:rPr>
          <w:szCs w:val="24"/>
        </w:rPr>
        <w:t xml:space="preserve"> </w:t>
      </w:r>
      <w:r>
        <w:rPr>
          <w:szCs w:val="24"/>
        </w:rPr>
        <w:t xml:space="preserve">crystal </w:t>
      </w:r>
      <w:r w:rsidRPr="002625F3">
        <w:rPr>
          <w:szCs w:val="24"/>
        </w:rPr>
        <w:t xml:space="preserve">packing </w:t>
      </w:r>
      <w:r>
        <w:rPr>
          <w:szCs w:val="24"/>
        </w:rPr>
        <w:t xml:space="preserve">effects that allow the ligand </w:t>
      </w:r>
      <w:r>
        <w:rPr>
          <w:szCs w:val="24"/>
        </w:rPr>
        <w:lastRenderedPageBreak/>
        <w:t>to interact with multiple adjacent NEET protein copies</w:t>
      </w:r>
      <w:r w:rsidRPr="002625F3">
        <w:rPr>
          <w:szCs w:val="24"/>
        </w:rPr>
        <w:t>.</w:t>
      </w:r>
      <w:r>
        <w:rPr>
          <w:szCs w:val="24"/>
        </w:rPr>
        <w:t xml:space="preserve"> Such extra-contacts are of course absent in solution, therefore the X-ray pose is only transient in our calculations, where </w:t>
      </w:r>
      <w:r w:rsidRPr="00A84B88">
        <w:rPr>
          <w:szCs w:val="24"/>
        </w:rPr>
        <w:t>the</w:t>
      </w:r>
      <w:r>
        <w:rPr>
          <w:szCs w:val="24"/>
        </w:rPr>
        <w:t xml:space="preserve"> binding</w:t>
      </w:r>
      <w:r w:rsidRPr="00A84B88">
        <w:rPr>
          <w:szCs w:val="24"/>
        </w:rPr>
        <w:t xml:space="preserve"> free</w:t>
      </w:r>
      <w:r>
        <w:rPr>
          <w:szCs w:val="24"/>
        </w:rPr>
        <w:t xml:space="preserve"> </w:t>
      </w:r>
      <w:r w:rsidRPr="00A84B88">
        <w:rPr>
          <w:szCs w:val="24"/>
        </w:rPr>
        <w:t>energy correlate with the number</w:t>
      </w:r>
      <w:r>
        <w:rPr>
          <w:szCs w:val="24"/>
        </w:rPr>
        <w:t xml:space="preserve"> of</w:t>
      </w:r>
      <w:r w:rsidRPr="00A84B88">
        <w:rPr>
          <w:szCs w:val="24"/>
        </w:rPr>
        <w:t xml:space="preserve"> contact</w:t>
      </w:r>
      <w:r>
        <w:rPr>
          <w:szCs w:val="24"/>
        </w:rPr>
        <w:t>s. We</w:t>
      </w:r>
      <w:r w:rsidRPr="002625F3">
        <w:rPr>
          <w:szCs w:val="24"/>
        </w:rPr>
        <w:t xml:space="preserve"> further </w:t>
      </w:r>
      <w:r>
        <w:rPr>
          <w:szCs w:val="24"/>
        </w:rPr>
        <w:t>evaluated how the</w:t>
      </w:r>
      <w:r w:rsidRPr="002625F3">
        <w:rPr>
          <w:szCs w:val="24"/>
        </w:rPr>
        <w:t xml:space="preserve"> reduction and protonation of the Fe-bound histidine</w:t>
      </w:r>
      <w:r>
        <w:rPr>
          <w:szCs w:val="24"/>
        </w:rPr>
        <w:t>, as well as temperature,</w:t>
      </w:r>
      <w:r w:rsidRPr="002625F3">
        <w:rPr>
          <w:szCs w:val="24"/>
        </w:rPr>
        <w:t xml:space="preserve"> </w:t>
      </w:r>
      <w:r>
        <w:rPr>
          <w:szCs w:val="24"/>
        </w:rPr>
        <w:t xml:space="preserve">can affect ligand binding. Both such modifications introduce the possibility for the ligand to bind in area of the protein other than the one observed in the X-ray, with no or little impact on affinity. Overall, our study can provide insights on the molecular recognition mechanisms of ligand binding to </w:t>
      </w:r>
      <w:proofErr w:type="spellStart"/>
      <w:r>
        <w:rPr>
          <w:szCs w:val="24"/>
        </w:rPr>
        <w:t>mNT</w:t>
      </w:r>
      <w:proofErr w:type="spellEnd"/>
      <w:r w:rsidRPr="002625F3">
        <w:rPr>
          <w:szCs w:val="24"/>
        </w:rPr>
        <w:t xml:space="preserve"> </w:t>
      </w:r>
      <w:r>
        <w:rPr>
          <w:szCs w:val="24"/>
        </w:rPr>
        <w:t xml:space="preserve">in different oxidative conditions, possibly </w:t>
      </w:r>
      <w:r w:rsidRPr="002625F3">
        <w:rPr>
          <w:szCs w:val="24"/>
        </w:rPr>
        <w:t>help</w:t>
      </w:r>
      <w:r>
        <w:rPr>
          <w:szCs w:val="24"/>
        </w:rPr>
        <w:t>ing</w:t>
      </w:r>
      <w:r w:rsidRPr="002625F3">
        <w:rPr>
          <w:szCs w:val="24"/>
        </w:rPr>
        <w:t xml:space="preserve"> rational drug design of NEET ligands.</w:t>
      </w:r>
    </w:p>
    <w:p w14:paraId="47B148A4" w14:textId="77777777" w:rsidR="00FF380F" w:rsidRPr="0055373D" w:rsidRDefault="00FF380F" w:rsidP="000702AD">
      <w:pPr>
        <w:pStyle w:val="BGKeywords"/>
        <w:rPr>
          <w:szCs w:val="24"/>
        </w:rPr>
      </w:pPr>
    </w:p>
    <w:p w14:paraId="773C8DB2" w14:textId="77777777" w:rsidR="00FF380F" w:rsidRPr="0055373D" w:rsidRDefault="00FF380F" w:rsidP="00DC45CD">
      <w:pPr>
        <w:pStyle w:val="TAMainText"/>
        <w:numPr>
          <w:ilvl w:val="0"/>
          <w:numId w:val="12"/>
        </w:numPr>
        <w:spacing w:after="240"/>
        <w:jc w:val="left"/>
        <w:rPr>
          <w:b/>
          <w:bCs/>
          <w:szCs w:val="24"/>
        </w:rPr>
      </w:pPr>
      <w:r w:rsidRPr="0055373D">
        <w:rPr>
          <w:b/>
          <w:bCs/>
          <w:szCs w:val="24"/>
        </w:rPr>
        <w:t xml:space="preserve">INTRODUCTION </w:t>
      </w:r>
    </w:p>
    <w:p w14:paraId="6914E8DC" w14:textId="77777777" w:rsidR="00FF380F" w:rsidRPr="0055373D" w:rsidRDefault="00FF380F" w:rsidP="004B223B">
      <w:pPr>
        <w:pStyle w:val="TAMainText"/>
        <w:rPr>
          <w:szCs w:val="24"/>
        </w:rPr>
      </w:pPr>
      <w:r w:rsidRPr="0055373D">
        <w:rPr>
          <w:szCs w:val="24"/>
        </w:rPr>
        <w:t>The human NEET iron-sulfur proteins (</w:t>
      </w:r>
      <w:proofErr w:type="spellStart"/>
      <w:r w:rsidRPr="0055373D">
        <w:rPr>
          <w:szCs w:val="24"/>
        </w:rPr>
        <w:t>mNT</w:t>
      </w:r>
      <w:proofErr w:type="spellEnd"/>
      <w:r w:rsidRPr="0055373D">
        <w:rPr>
          <w:szCs w:val="24"/>
        </w:rPr>
        <w:t xml:space="preserve">, NAF-1, </w:t>
      </w:r>
      <w:proofErr w:type="spellStart"/>
      <w:r w:rsidRPr="0055373D">
        <w:rPr>
          <w:szCs w:val="24"/>
        </w:rPr>
        <w:t>MiNT</w:t>
      </w:r>
      <w:proofErr w:type="spellEnd"/>
      <w:r w:rsidRPr="0055373D">
        <w:rPr>
          <w:szCs w:val="24"/>
        </w:rPr>
        <w:t>)</w:t>
      </w:r>
      <w:r w:rsidRPr="0055373D">
        <w:rPr>
          <w:noProof/>
          <w:szCs w:val="24"/>
          <w:vertAlign w:val="superscript"/>
        </w:rPr>
        <w:t xml:space="preserve"> 1-3</w:t>
      </w:r>
      <w:r w:rsidRPr="0055373D">
        <w:rPr>
          <w:szCs w:val="24"/>
        </w:rPr>
        <w:t xml:space="preserve"> play a key role in mitochondrial dysfunction associated with diseases, such as metabolic diseases, cancers, and progressive neurodegeneration diseases</w:t>
      </w:r>
      <w:r w:rsidRPr="0055373D">
        <w:rPr>
          <w:noProof/>
          <w:szCs w:val="24"/>
          <w:vertAlign w:val="superscript"/>
        </w:rPr>
        <w:t>4, 5</w:t>
      </w:r>
      <w:r w:rsidRPr="0055373D">
        <w:rPr>
          <w:szCs w:val="24"/>
        </w:rPr>
        <w:t xml:space="preserve">. While </w:t>
      </w:r>
      <w:proofErr w:type="spellStart"/>
      <w:r w:rsidRPr="0055373D">
        <w:rPr>
          <w:szCs w:val="24"/>
        </w:rPr>
        <w:t>MiNT</w:t>
      </w:r>
      <w:proofErr w:type="spellEnd"/>
      <w:r w:rsidRPr="0055373D">
        <w:rPr>
          <w:szCs w:val="24"/>
        </w:rPr>
        <w:t xml:space="preserve"> is a monomeric protein located inside the mitochondria</w:t>
      </w:r>
      <w:r w:rsidRPr="0055373D">
        <w:rPr>
          <w:noProof/>
          <w:szCs w:val="24"/>
          <w:vertAlign w:val="superscript"/>
        </w:rPr>
        <w:t>4</w:t>
      </w:r>
      <w:r w:rsidRPr="0055373D">
        <w:rPr>
          <w:szCs w:val="24"/>
        </w:rPr>
        <w:t>, the other two are homodimers localized on the outer membrane of mitochondria with a transmembrane domain and a cytosolic domain. Each subunit features a two iron-two sulfur cluster</w:t>
      </w:r>
      <w:bookmarkStart w:id="2" w:name="_Hlk114300745"/>
      <w:r w:rsidRPr="0055373D">
        <w:rPr>
          <w:szCs w:val="24"/>
        </w:rPr>
        <w:t xml:space="preserve"> coordinated by three cysteines and one histidine. The histidine-bound iron is closer to the protein surface, wh</w:t>
      </w:r>
      <w:r>
        <w:rPr>
          <w:szCs w:val="24"/>
        </w:rPr>
        <w:t>ich can exist as an Fe(II) or an Fe(III) ion, wh</w:t>
      </w:r>
      <w:r w:rsidRPr="0055373D">
        <w:rPr>
          <w:szCs w:val="24"/>
        </w:rPr>
        <w:t xml:space="preserve">ile the other </w:t>
      </w:r>
      <w:r>
        <w:rPr>
          <w:szCs w:val="24"/>
        </w:rPr>
        <w:t>metal (</w:t>
      </w:r>
      <w:r w:rsidRPr="0055373D">
        <w:rPr>
          <w:szCs w:val="24"/>
        </w:rPr>
        <w:t>an Fe(III)</w:t>
      </w:r>
      <w:r>
        <w:rPr>
          <w:szCs w:val="24"/>
        </w:rPr>
        <w:t xml:space="preserve"> ion)</w:t>
      </w:r>
      <w:r w:rsidRPr="0055373D">
        <w:rPr>
          <w:szCs w:val="24"/>
        </w:rPr>
        <w:t xml:space="preserve"> is buried in the protein</w:t>
      </w:r>
      <w:bookmarkEnd w:id="2"/>
      <w:r w:rsidRPr="0055373D">
        <w:rPr>
          <w:szCs w:val="24"/>
        </w:rPr>
        <w:t xml:space="preserve"> (Chart I in SI). The </w:t>
      </w:r>
      <w:r>
        <w:rPr>
          <w:szCs w:val="24"/>
        </w:rPr>
        <w:t>reduced cluster is</w:t>
      </w:r>
      <w:r w:rsidRPr="0055373D">
        <w:rPr>
          <w:szCs w:val="24"/>
        </w:rPr>
        <w:t xml:space="preserve"> kinetically </w:t>
      </w:r>
      <w:r>
        <w:rPr>
          <w:szCs w:val="24"/>
        </w:rPr>
        <w:t>inert</w:t>
      </w:r>
      <w:r w:rsidRPr="0055373D">
        <w:rPr>
          <w:noProof/>
          <w:szCs w:val="24"/>
          <w:vertAlign w:val="superscript"/>
        </w:rPr>
        <w:t>6, 7</w:t>
      </w:r>
      <w:r w:rsidRPr="0055373D">
        <w:rPr>
          <w:szCs w:val="24"/>
        </w:rPr>
        <w:t xml:space="preserve">, </w:t>
      </w:r>
      <w:r>
        <w:rPr>
          <w:szCs w:val="24"/>
        </w:rPr>
        <w:t xml:space="preserve">and it can be </w:t>
      </w:r>
      <w:r w:rsidRPr="0055373D">
        <w:rPr>
          <w:szCs w:val="24"/>
        </w:rPr>
        <w:t>released/transferred to apo-acceptor(s)</w:t>
      </w:r>
      <w:r w:rsidRPr="0055373D">
        <w:rPr>
          <w:noProof/>
          <w:szCs w:val="24"/>
          <w:vertAlign w:val="superscript"/>
        </w:rPr>
        <w:t xml:space="preserve"> 4</w:t>
      </w:r>
      <w:r w:rsidRPr="0055373D">
        <w:rPr>
          <w:szCs w:val="24"/>
        </w:rPr>
        <w:t xml:space="preserve"> (and increasingly so by lowering the pH) upon oxidation. Aberrant cluster in disease conditions release ca</w:t>
      </w:r>
      <w:r>
        <w:rPr>
          <w:szCs w:val="24"/>
        </w:rPr>
        <w:t>n</w:t>
      </w:r>
      <w:r w:rsidRPr="0055373D">
        <w:rPr>
          <w:szCs w:val="24"/>
        </w:rPr>
        <w:t xml:space="preserve"> lead to cell derangement.</w:t>
      </w:r>
    </w:p>
    <w:p w14:paraId="62364238" w14:textId="77777777" w:rsidR="00FF380F" w:rsidRPr="0055373D" w:rsidRDefault="00FF380F" w:rsidP="003945AE">
      <w:pPr>
        <w:pStyle w:val="TAMainText"/>
        <w:rPr>
          <w:szCs w:val="24"/>
        </w:rPr>
      </w:pPr>
      <w:r w:rsidRPr="0055373D">
        <w:rPr>
          <w:szCs w:val="24"/>
        </w:rPr>
        <w:lastRenderedPageBreak/>
        <w:t>Recently, these proteins have emerged as attractive targets for pharmacological intervention. Indeed, small molecules binding to these proteins</w:t>
      </w:r>
      <w:r w:rsidRPr="0055373D">
        <w:rPr>
          <w:noProof/>
          <w:szCs w:val="24"/>
          <w:vertAlign w:val="superscript"/>
        </w:rPr>
        <w:t>5, 8-10</w:t>
      </w:r>
      <w:r w:rsidRPr="0055373D">
        <w:rPr>
          <w:szCs w:val="24"/>
        </w:rPr>
        <w:t xml:space="preserve"> have been shown to modulate the kinetic</w:t>
      </w:r>
      <w:r>
        <w:rPr>
          <w:szCs w:val="24"/>
        </w:rPr>
        <w:t>s</w:t>
      </w:r>
      <w:r w:rsidRPr="0055373D">
        <w:rPr>
          <w:szCs w:val="24"/>
        </w:rPr>
        <w:t xml:space="preserve"> of cluster release. For instance, compound </w:t>
      </w:r>
      <w:r w:rsidRPr="0055373D">
        <w:rPr>
          <w:rFonts w:ascii="Times New Roman" w:hAnsi="Times New Roman"/>
          <w:b/>
          <w:bCs/>
          <w:szCs w:val="24"/>
        </w:rPr>
        <w:t xml:space="preserve">A </w:t>
      </w:r>
      <w:r w:rsidRPr="0055373D">
        <w:rPr>
          <w:rFonts w:ascii="Times New Roman" w:hAnsi="Times New Roman"/>
          <w:szCs w:val="24"/>
        </w:rPr>
        <w:t>in Fig. 1 accelerates the [2Fe</w:t>
      </w:r>
      <w:r w:rsidRPr="0055373D">
        <w:rPr>
          <w:rFonts w:eastAsia="Times New Roman"/>
          <w:szCs w:val="24"/>
        </w:rPr>
        <w:t>–</w:t>
      </w:r>
      <w:r w:rsidRPr="0055373D">
        <w:rPr>
          <w:rFonts w:ascii="Times New Roman" w:hAnsi="Times New Roman"/>
          <w:szCs w:val="24"/>
        </w:rPr>
        <w:t xml:space="preserve">2S] clusters of </w:t>
      </w:r>
      <w:proofErr w:type="spellStart"/>
      <w:r w:rsidRPr="0055373D">
        <w:rPr>
          <w:rFonts w:ascii="Times New Roman" w:hAnsi="Times New Roman"/>
          <w:szCs w:val="24"/>
        </w:rPr>
        <w:t>mNT</w:t>
      </w:r>
      <w:proofErr w:type="spellEnd"/>
      <w:r w:rsidRPr="0055373D">
        <w:rPr>
          <w:rFonts w:ascii="Times New Roman" w:hAnsi="Times New Roman"/>
          <w:szCs w:val="24"/>
        </w:rPr>
        <w:t xml:space="preserve"> and NAF-1 release to apo-acceptors </w:t>
      </w:r>
      <w:r w:rsidRPr="0055373D">
        <w:rPr>
          <w:rFonts w:ascii="Times New Roman" w:hAnsi="Times New Roman"/>
          <w:i/>
          <w:iCs/>
          <w:szCs w:val="24"/>
        </w:rPr>
        <w:t>in vitro</w:t>
      </w:r>
      <w:r w:rsidRPr="0055373D">
        <w:rPr>
          <w:rFonts w:ascii="Times New Roman" w:hAnsi="Times New Roman"/>
          <w:szCs w:val="24"/>
        </w:rPr>
        <w:t>, while furosemide does the opposite (Fig. 1)</w:t>
      </w:r>
      <w:r w:rsidRPr="0055373D">
        <w:rPr>
          <w:rFonts w:ascii="Times New Roman" w:hAnsi="Times New Roman"/>
          <w:szCs w:val="24"/>
          <w:vertAlign w:val="superscript"/>
        </w:rPr>
        <w:t>9</w:t>
      </w:r>
      <w:r w:rsidRPr="0055373D">
        <w:rPr>
          <w:rFonts w:ascii="Times New Roman" w:hAnsi="Times New Roman"/>
          <w:szCs w:val="24"/>
        </w:rPr>
        <w:t xml:space="preserve">. </w:t>
      </w:r>
      <w:r w:rsidRPr="0055373D">
        <w:rPr>
          <w:szCs w:val="24"/>
        </w:rPr>
        <w:t>Hence, in principle, specific ligands could be used to restore the normal functioning of these proteins.</w:t>
      </w:r>
    </w:p>
    <w:p w14:paraId="569759AD" w14:textId="77777777" w:rsidR="00FF380F" w:rsidRPr="000B68C1" w:rsidRDefault="00FF380F" w:rsidP="003945AE">
      <w:pPr>
        <w:pStyle w:val="TAMainText"/>
        <w:ind w:firstLine="0"/>
        <w:rPr>
          <w:sz w:val="16"/>
          <w:szCs w:val="16"/>
        </w:rPr>
      </w:pPr>
    </w:p>
    <w:p w14:paraId="07581AF1" w14:textId="77777777" w:rsidR="00FF380F" w:rsidRPr="000B68C1" w:rsidRDefault="00FF380F" w:rsidP="00582D34">
      <w:pPr>
        <w:pStyle w:val="TAMainText"/>
        <w:ind w:firstLine="0"/>
        <w:rPr>
          <w:bCs/>
          <w:sz w:val="16"/>
          <w:szCs w:val="16"/>
        </w:rPr>
      </w:pPr>
      <w:r>
        <w:rPr>
          <w:noProof/>
        </w:rPr>
        <w:drawing>
          <wp:inline distT="0" distB="0" distL="0" distR="0" wp14:anchorId="60C47AF6" wp14:editId="6CAE0695">
            <wp:extent cx="5943600" cy="21596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159635"/>
                    </a:xfrm>
                    <a:prstGeom prst="rect">
                      <a:avLst/>
                    </a:prstGeom>
                    <a:noFill/>
                    <a:ln>
                      <a:noFill/>
                    </a:ln>
                  </pic:spPr>
                </pic:pic>
              </a:graphicData>
            </a:graphic>
          </wp:inline>
        </w:drawing>
      </w:r>
    </w:p>
    <w:p w14:paraId="5A0E41E7" w14:textId="77777777" w:rsidR="00FF380F" w:rsidRPr="000D692C" w:rsidRDefault="00FF380F" w:rsidP="00582D34">
      <w:pPr>
        <w:pStyle w:val="VAFigureCaption"/>
        <w:rPr>
          <w:sz w:val="21"/>
          <w:szCs w:val="21"/>
        </w:rPr>
      </w:pPr>
      <w:r w:rsidRPr="000D692C">
        <w:rPr>
          <w:b/>
          <w:bCs/>
          <w:sz w:val="21"/>
          <w:szCs w:val="21"/>
        </w:rPr>
        <w:t>Figure 1. Chemical structure, binding affinity and crystal structures of 2-benzamido-4-(1,2,3,4-tetrahydronaphthalen-2-yl)-thiophene-3-carboxylate (“A”) and of furosemide with mNT</w:t>
      </w:r>
      <w:r w:rsidRPr="000D692C">
        <w:rPr>
          <w:b/>
          <w:bCs/>
          <w:noProof/>
          <w:sz w:val="21"/>
          <w:szCs w:val="21"/>
          <w:vertAlign w:val="superscript"/>
        </w:rPr>
        <w:t>9, 11</w:t>
      </w:r>
      <w:r w:rsidRPr="000D692C">
        <w:rPr>
          <w:b/>
          <w:bCs/>
          <w:sz w:val="21"/>
          <w:szCs w:val="21"/>
        </w:rPr>
        <w:t xml:space="preserve"> </w:t>
      </w:r>
      <w:r w:rsidRPr="000D692C">
        <w:rPr>
          <w:bCs/>
          <w:sz w:val="21"/>
          <w:szCs w:val="21"/>
        </w:rPr>
        <w:t>(</w:t>
      </w:r>
      <w:r w:rsidRPr="000D692C">
        <w:rPr>
          <w:sz w:val="21"/>
          <w:szCs w:val="21"/>
        </w:rPr>
        <w:t>PDB IDs: 6DE9</w:t>
      </w:r>
      <w:r w:rsidRPr="000D692C">
        <w:rPr>
          <w:noProof/>
          <w:sz w:val="21"/>
          <w:szCs w:val="21"/>
          <w:vertAlign w:val="superscript"/>
        </w:rPr>
        <w:t>9</w:t>
      </w:r>
      <w:r w:rsidRPr="000D692C">
        <w:rPr>
          <w:sz w:val="21"/>
          <w:szCs w:val="21"/>
        </w:rPr>
        <w:t>, 7P0O</w:t>
      </w:r>
      <w:r w:rsidRPr="000D692C">
        <w:rPr>
          <w:noProof/>
          <w:sz w:val="21"/>
          <w:szCs w:val="21"/>
          <w:vertAlign w:val="superscript"/>
        </w:rPr>
        <w:t>11</w:t>
      </w:r>
      <w:r w:rsidRPr="000D692C">
        <w:rPr>
          <w:sz w:val="21"/>
          <w:szCs w:val="21"/>
        </w:rPr>
        <w:t xml:space="preserve"> and 7P0P</w:t>
      </w:r>
      <w:r w:rsidRPr="000D692C">
        <w:rPr>
          <w:noProof/>
          <w:sz w:val="21"/>
          <w:szCs w:val="21"/>
          <w:vertAlign w:val="superscript"/>
        </w:rPr>
        <w:t>11</w:t>
      </w:r>
      <w:r w:rsidRPr="000D692C">
        <w:rPr>
          <w:sz w:val="21"/>
          <w:szCs w:val="21"/>
        </w:rPr>
        <w:t xml:space="preserve"> for the </w:t>
      </w:r>
      <w:proofErr w:type="spellStart"/>
      <w:r w:rsidRPr="000D692C">
        <w:rPr>
          <w:sz w:val="21"/>
          <w:szCs w:val="21"/>
        </w:rPr>
        <w:t>furose</w:t>
      </w:r>
      <w:r w:rsidRPr="000D692C">
        <w:rPr>
          <w:rFonts w:ascii="Times New Roman" w:hAnsi="Times New Roman"/>
          <w:sz w:val="21"/>
          <w:szCs w:val="21"/>
        </w:rPr>
        <w:t>mide</w:t>
      </w:r>
      <w:r w:rsidRPr="000D692C">
        <w:rPr>
          <w:rFonts w:ascii="Times New Roman" w:eastAsia="宋体" w:hAnsi="Times New Roman"/>
          <w:sz w:val="21"/>
          <w:szCs w:val="21"/>
        </w:rPr>
        <w:t>·</w:t>
      </w:r>
      <w:r w:rsidRPr="000D692C">
        <w:rPr>
          <w:rFonts w:ascii="Times New Roman" w:eastAsia="宋体" w:hAnsi="Times New Roman"/>
          <w:sz w:val="21"/>
          <w:szCs w:val="21"/>
          <w:lang w:eastAsia="zh-CN"/>
        </w:rPr>
        <w:t>mNT</w:t>
      </w:r>
      <w:proofErr w:type="spellEnd"/>
      <w:r w:rsidRPr="000D692C">
        <w:rPr>
          <w:rFonts w:ascii="Times New Roman" w:hAnsi="Times New Roman"/>
          <w:sz w:val="21"/>
          <w:szCs w:val="21"/>
        </w:rPr>
        <w:t>,</w:t>
      </w:r>
      <w:r w:rsidRPr="000D692C">
        <w:rPr>
          <w:sz w:val="21"/>
          <w:szCs w:val="21"/>
        </w:rPr>
        <w:t xml:space="preserve"> </w:t>
      </w:r>
      <w:proofErr w:type="spellStart"/>
      <w:r w:rsidRPr="000D692C">
        <w:rPr>
          <w:b/>
          <w:bCs/>
          <w:sz w:val="21"/>
          <w:szCs w:val="21"/>
        </w:rPr>
        <w:t>A</w:t>
      </w:r>
      <w:r w:rsidRPr="000D692C">
        <w:rPr>
          <w:rFonts w:ascii="Times New Roman" w:eastAsia="宋体" w:hAnsi="Times New Roman"/>
          <w:sz w:val="21"/>
          <w:szCs w:val="21"/>
        </w:rPr>
        <w:t>·</w:t>
      </w:r>
      <w:r w:rsidRPr="000D692C">
        <w:rPr>
          <w:rFonts w:ascii="Times New Roman" w:eastAsia="宋体" w:hAnsi="Times New Roman"/>
          <w:sz w:val="21"/>
          <w:szCs w:val="21"/>
          <w:lang w:eastAsia="zh-CN"/>
        </w:rPr>
        <w:t>mNT</w:t>
      </w:r>
      <w:proofErr w:type="spellEnd"/>
      <w:r w:rsidRPr="000D692C">
        <w:rPr>
          <w:sz w:val="21"/>
          <w:szCs w:val="21"/>
        </w:rPr>
        <w:t xml:space="preserve">, </w:t>
      </w:r>
      <w:r w:rsidRPr="000D692C">
        <w:rPr>
          <w:b/>
          <w:bCs/>
          <w:sz w:val="21"/>
          <w:szCs w:val="21"/>
        </w:rPr>
        <w:t>A</w:t>
      </w:r>
      <w:r w:rsidRPr="000D692C">
        <w:rPr>
          <w:rFonts w:ascii="Times New Roman" w:eastAsia="宋体" w:hAnsi="Times New Roman"/>
          <w:sz w:val="21"/>
          <w:szCs w:val="21"/>
        </w:rPr>
        <w:t>·</w:t>
      </w:r>
      <w:r w:rsidRPr="000D692C">
        <w:rPr>
          <w:rFonts w:ascii="Times New Roman" w:eastAsia="宋体" w:hAnsi="Times New Roman"/>
          <w:sz w:val="21"/>
          <w:szCs w:val="21"/>
          <w:lang w:eastAsia="zh-CN"/>
        </w:rPr>
        <w:t>NAF-1</w:t>
      </w:r>
      <w:r w:rsidRPr="000D692C">
        <w:rPr>
          <w:sz w:val="21"/>
          <w:szCs w:val="21"/>
        </w:rPr>
        <w:t xml:space="preserve"> complexes, respectively). The ligands (represented as wheat sticks) bind to the [2Fe–2S] cluster (represented as spheres) regions. </w:t>
      </w:r>
      <w:proofErr w:type="spellStart"/>
      <w:r w:rsidRPr="000D692C">
        <w:rPr>
          <w:sz w:val="21"/>
          <w:szCs w:val="21"/>
        </w:rPr>
        <w:t>mNT</w:t>
      </w:r>
      <w:proofErr w:type="spellEnd"/>
      <w:r w:rsidRPr="000D692C">
        <w:rPr>
          <w:sz w:val="21"/>
          <w:szCs w:val="21"/>
        </w:rPr>
        <w:t xml:space="preserve"> is shown in green/slate and magenta/deep blue cartoons, respectively. </w:t>
      </w:r>
      <w:r w:rsidRPr="000D692C">
        <w:rPr>
          <w:bCs/>
          <w:sz w:val="21"/>
          <w:szCs w:val="21"/>
        </w:rPr>
        <w:t>The ligands pose in the X-ray structure are similar</w:t>
      </w:r>
      <w:r w:rsidRPr="000D692C">
        <w:rPr>
          <w:noProof/>
          <w:sz w:val="21"/>
          <w:szCs w:val="21"/>
          <w:vertAlign w:val="superscript"/>
        </w:rPr>
        <w:t>9, 11</w:t>
      </w:r>
      <w:r w:rsidRPr="000D692C">
        <w:rPr>
          <w:sz w:val="21"/>
          <w:szCs w:val="21"/>
        </w:rPr>
        <w:t>.</w:t>
      </w:r>
    </w:p>
    <w:p w14:paraId="70031727" w14:textId="77777777" w:rsidR="00FF380F" w:rsidRPr="000B3D7D" w:rsidRDefault="00FF380F" w:rsidP="00561EDE">
      <w:pPr>
        <w:pStyle w:val="TAMainText"/>
        <w:rPr>
          <w:szCs w:val="24"/>
        </w:rPr>
      </w:pPr>
      <w:r w:rsidRPr="004D1BD5">
        <w:rPr>
          <w:szCs w:val="24"/>
        </w:rPr>
        <w:t>T</w:t>
      </w:r>
      <w:r>
        <w:rPr>
          <w:szCs w:val="24"/>
        </w:rPr>
        <w:t>he first</w:t>
      </w:r>
      <w:r w:rsidRPr="004D1BD5">
        <w:rPr>
          <w:szCs w:val="24"/>
        </w:rPr>
        <w:t xml:space="preserve"> pose of </w:t>
      </w:r>
      <w:r>
        <w:rPr>
          <w:szCs w:val="24"/>
        </w:rPr>
        <w:t xml:space="preserve">a ligand predicted by molecular simulation is that of </w:t>
      </w:r>
      <w:r w:rsidRPr="004D1BD5">
        <w:rPr>
          <w:szCs w:val="24"/>
        </w:rPr>
        <w:t xml:space="preserve">furosemide to oxidized </w:t>
      </w:r>
      <w:proofErr w:type="spellStart"/>
      <w:r w:rsidRPr="004D1BD5">
        <w:rPr>
          <w:szCs w:val="24"/>
        </w:rPr>
        <w:t>mNT</w:t>
      </w:r>
      <w:proofErr w:type="spellEnd"/>
      <w:r w:rsidRPr="004D1BD5">
        <w:rPr>
          <w:szCs w:val="24"/>
        </w:rPr>
        <w:t xml:space="preserve"> in an aqueous solution</w:t>
      </w:r>
      <w:r>
        <w:rPr>
          <w:szCs w:val="24"/>
        </w:rPr>
        <w:t>. T</w:t>
      </w:r>
      <w:r w:rsidRPr="004D1BD5">
        <w:rPr>
          <w:szCs w:val="24"/>
        </w:rPr>
        <w:t xml:space="preserve">ailored enhanced sampling </w:t>
      </w:r>
      <w:r>
        <w:rPr>
          <w:szCs w:val="24"/>
        </w:rPr>
        <w:t>simulations</w:t>
      </w:r>
      <w:r w:rsidRPr="004D1BD5">
        <w:rPr>
          <w:noProof/>
          <w:szCs w:val="24"/>
          <w:vertAlign w:val="superscript"/>
        </w:rPr>
        <w:t>12</w:t>
      </w:r>
      <w:r>
        <w:rPr>
          <w:szCs w:val="24"/>
        </w:rPr>
        <w:t xml:space="preserve">, performed by some of us, </w:t>
      </w:r>
      <w:r w:rsidRPr="004D1BD5">
        <w:rPr>
          <w:szCs w:val="24"/>
        </w:rPr>
        <w:t xml:space="preserve">were consistent with the </w:t>
      </w:r>
      <w:r>
        <w:rPr>
          <w:szCs w:val="24"/>
        </w:rPr>
        <w:t>measured</w:t>
      </w:r>
      <w:r w:rsidRPr="004D1BD5">
        <w:rPr>
          <w:szCs w:val="24"/>
        </w:rPr>
        <w:t xml:space="preserve"> binding affinities</w:t>
      </w:r>
      <w:r w:rsidRPr="004D1BD5">
        <w:rPr>
          <w:noProof/>
          <w:szCs w:val="24"/>
          <w:vertAlign w:val="superscript"/>
        </w:rPr>
        <w:t>9</w:t>
      </w:r>
      <w:r w:rsidRPr="004D1BD5">
        <w:rPr>
          <w:szCs w:val="24"/>
        </w:rPr>
        <w:t xml:space="preserve">. Interestingly, they suggested not only the binding pose close to the [2Fe–2S] cluster determined by X-ray studies </w:t>
      </w:r>
      <w:r w:rsidRPr="004D1BD5">
        <w:rPr>
          <w:noProof/>
          <w:szCs w:val="24"/>
          <w:vertAlign w:val="superscript"/>
        </w:rPr>
        <w:t>9, 12</w:t>
      </w:r>
      <w:r w:rsidRPr="004D1BD5">
        <w:rPr>
          <w:szCs w:val="24"/>
        </w:rPr>
        <w:t xml:space="preserve">, but also an ensemble of poses around the cluster itself. </w:t>
      </w:r>
      <w:r w:rsidRPr="004D1BD5">
        <w:rPr>
          <w:szCs w:val="24"/>
        </w:rPr>
        <w:lastRenderedPageBreak/>
        <w:t>The difference was ascribed to crystal packing effects, which contribute to stabilizing a single specific ligand pose</w:t>
      </w:r>
      <w:r>
        <w:rPr>
          <w:szCs w:val="24"/>
        </w:rPr>
        <w:t xml:space="preserve"> in the experimental structure</w:t>
      </w:r>
      <w:r w:rsidRPr="004D1BD5">
        <w:rPr>
          <w:noProof/>
          <w:szCs w:val="24"/>
          <w:vertAlign w:val="superscript"/>
        </w:rPr>
        <w:t>12</w:t>
      </w:r>
      <w:r w:rsidRPr="004D1BD5">
        <w:rPr>
          <w:szCs w:val="24"/>
        </w:rPr>
        <w:t>. These predictions were carried out by imposing the binding in the [2Fe</w:t>
      </w:r>
      <w:r w:rsidRPr="004D1BD5">
        <w:rPr>
          <w:rFonts w:eastAsia="Times New Roman"/>
          <w:szCs w:val="24"/>
        </w:rPr>
        <w:t>–</w:t>
      </w:r>
      <w:r w:rsidRPr="004D1BD5">
        <w:rPr>
          <w:szCs w:val="24"/>
        </w:rPr>
        <w:t>2S] clusters region</w:t>
      </w:r>
      <w:r w:rsidRPr="004D1BD5">
        <w:rPr>
          <w:noProof/>
          <w:szCs w:val="24"/>
          <w:vertAlign w:val="superscript"/>
        </w:rPr>
        <w:t>9, 12</w:t>
      </w:r>
      <w:r w:rsidRPr="004D1BD5">
        <w:rPr>
          <w:szCs w:val="24"/>
        </w:rPr>
        <w:t xml:space="preserve">. Here </w:t>
      </w:r>
      <w:r w:rsidRPr="004D1BD5">
        <w:rPr>
          <w:bCs/>
          <w:szCs w:val="24"/>
        </w:rPr>
        <w:t>we address the question of whether a ligand can also bind outside the cluster binding domain.</w:t>
      </w:r>
      <w:r w:rsidRPr="004D1BD5">
        <w:rPr>
          <w:b/>
          <w:bCs/>
          <w:szCs w:val="24"/>
        </w:rPr>
        <w:t xml:space="preserve"> </w:t>
      </w:r>
      <w:r w:rsidRPr="004D1BD5">
        <w:rPr>
          <w:szCs w:val="24"/>
        </w:rPr>
        <w:t>We focus on the binding of</w:t>
      </w:r>
      <w:r>
        <w:rPr>
          <w:szCs w:val="24"/>
        </w:rPr>
        <w:t xml:space="preserve"> 2</w:t>
      </w:r>
      <w:r w:rsidRPr="002625F3">
        <w:rPr>
          <w:szCs w:val="24"/>
        </w:rPr>
        <w:t>-benzamido-4-(1,2,3,4-tetrahydronaphthalen-2-yl)-thiophene-3-carboxylate</w:t>
      </w:r>
      <w:r>
        <w:rPr>
          <w:szCs w:val="24"/>
        </w:rPr>
        <w:t>, (</w:t>
      </w:r>
      <w:r w:rsidRPr="004D1BD5">
        <w:rPr>
          <w:b/>
          <w:bCs/>
          <w:szCs w:val="24"/>
        </w:rPr>
        <w:t>A</w:t>
      </w:r>
      <w:r w:rsidRPr="004D1BD5">
        <w:rPr>
          <w:szCs w:val="24"/>
        </w:rPr>
        <w:t xml:space="preserve"> </w:t>
      </w:r>
      <w:r>
        <w:rPr>
          <w:szCs w:val="24"/>
        </w:rPr>
        <w:t xml:space="preserve">hereafter) </w:t>
      </w:r>
      <w:r w:rsidRPr="004D1BD5">
        <w:rPr>
          <w:bCs/>
          <w:szCs w:val="24"/>
        </w:rPr>
        <w:t xml:space="preserve">to </w:t>
      </w:r>
      <w:proofErr w:type="spellStart"/>
      <w:r w:rsidRPr="004D1BD5">
        <w:rPr>
          <w:bCs/>
          <w:szCs w:val="24"/>
        </w:rPr>
        <w:t>mNT</w:t>
      </w:r>
      <w:proofErr w:type="spellEnd"/>
      <w:r w:rsidRPr="004D1BD5">
        <w:rPr>
          <w:bCs/>
          <w:szCs w:val="24"/>
        </w:rPr>
        <w:t>, for which both affinity and experimental structural information are available</w:t>
      </w:r>
      <w:r w:rsidRPr="004D1BD5">
        <w:rPr>
          <w:bCs/>
          <w:noProof/>
          <w:szCs w:val="24"/>
          <w:vertAlign w:val="superscript"/>
        </w:rPr>
        <w:t>11</w:t>
      </w:r>
      <w:r w:rsidRPr="004D1BD5">
        <w:rPr>
          <w:bCs/>
          <w:szCs w:val="24"/>
        </w:rPr>
        <w:t xml:space="preserve">. </w:t>
      </w:r>
      <w:r w:rsidRPr="004D1BD5">
        <w:rPr>
          <w:szCs w:val="24"/>
        </w:rPr>
        <w:t xml:space="preserve">The </w:t>
      </w:r>
      <w:r w:rsidRPr="004D1BD5">
        <w:rPr>
          <w:bCs/>
          <w:szCs w:val="24"/>
        </w:rPr>
        <w:t xml:space="preserve">X-ray structure of the </w:t>
      </w:r>
      <w:proofErr w:type="spellStart"/>
      <w:r w:rsidRPr="004D1BD5">
        <w:rPr>
          <w:b/>
          <w:bCs/>
          <w:szCs w:val="24"/>
        </w:rPr>
        <w:t>A</w:t>
      </w:r>
      <w:r w:rsidRPr="004D1BD5">
        <w:rPr>
          <w:bCs/>
          <w:szCs w:val="24"/>
        </w:rPr>
        <w:t>·</w:t>
      </w:r>
      <w:r w:rsidRPr="004D1BD5">
        <w:rPr>
          <w:szCs w:val="24"/>
        </w:rPr>
        <w:t>mNT</w:t>
      </w:r>
      <w:proofErr w:type="spellEnd"/>
      <w:r w:rsidRPr="004D1BD5">
        <w:rPr>
          <w:b/>
          <w:szCs w:val="24"/>
        </w:rPr>
        <w:t xml:space="preserve"> </w:t>
      </w:r>
      <w:r w:rsidRPr="004D1BD5">
        <w:rPr>
          <w:szCs w:val="24"/>
        </w:rPr>
        <w:t xml:space="preserve">complex </w:t>
      </w:r>
      <w:r w:rsidRPr="004D1BD5">
        <w:rPr>
          <w:bCs/>
          <w:szCs w:val="24"/>
        </w:rPr>
        <w:t xml:space="preserve">shows that </w:t>
      </w:r>
      <w:r w:rsidRPr="004D1BD5">
        <w:rPr>
          <w:b/>
          <w:szCs w:val="24"/>
        </w:rPr>
        <w:t xml:space="preserve">A </w:t>
      </w:r>
      <w:r w:rsidRPr="004D1BD5">
        <w:rPr>
          <w:bCs/>
          <w:szCs w:val="24"/>
        </w:rPr>
        <w:t xml:space="preserve">interacts also with two adjacent </w:t>
      </w:r>
      <w:proofErr w:type="spellStart"/>
      <w:r w:rsidRPr="004D1BD5">
        <w:rPr>
          <w:b/>
          <w:bCs/>
          <w:szCs w:val="24"/>
        </w:rPr>
        <w:t>A</w:t>
      </w:r>
      <w:r w:rsidRPr="004D1BD5">
        <w:rPr>
          <w:bCs/>
          <w:szCs w:val="24"/>
        </w:rPr>
        <w:t>·</w:t>
      </w:r>
      <w:r w:rsidRPr="004D1BD5">
        <w:rPr>
          <w:szCs w:val="24"/>
        </w:rPr>
        <w:t>mNT</w:t>
      </w:r>
      <w:proofErr w:type="spellEnd"/>
      <w:r w:rsidRPr="004D1BD5">
        <w:rPr>
          <w:b/>
          <w:szCs w:val="24"/>
        </w:rPr>
        <w:t xml:space="preserve"> </w:t>
      </w:r>
      <w:r w:rsidRPr="004D1BD5">
        <w:rPr>
          <w:szCs w:val="24"/>
        </w:rPr>
        <w:t>complexes in the crystal (Fig</w:t>
      </w:r>
      <w:r>
        <w:rPr>
          <w:szCs w:val="24"/>
        </w:rPr>
        <w:t>.</w:t>
      </w:r>
      <w:r w:rsidRPr="004D1BD5">
        <w:rPr>
          <w:szCs w:val="24"/>
        </w:rPr>
        <w:t xml:space="preserve"> 2). Specifically,</w:t>
      </w:r>
      <w:r w:rsidRPr="004D1BD5">
        <w:rPr>
          <w:b/>
          <w:szCs w:val="24"/>
        </w:rPr>
        <w:t xml:space="preserve"> A</w:t>
      </w:r>
      <w:r w:rsidRPr="004D1BD5">
        <w:rPr>
          <w:bCs/>
          <w:szCs w:val="24"/>
        </w:rPr>
        <w:t>’s</w:t>
      </w:r>
      <w:r w:rsidRPr="004D1BD5">
        <w:rPr>
          <w:b/>
          <w:szCs w:val="24"/>
        </w:rPr>
        <w:t xml:space="preserve"> </w:t>
      </w:r>
      <w:r w:rsidRPr="004D1BD5">
        <w:rPr>
          <w:szCs w:val="24"/>
        </w:rPr>
        <w:t>phenyl forms π-anion interactions</w:t>
      </w:r>
      <w:r w:rsidRPr="004D1BD5">
        <w:rPr>
          <w:noProof/>
          <w:szCs w:val="24"/>
          <w:vertAlign w:val="superscript"/>
        </w:rPr>
        <w:t>13</w:t>
      </w:r>
      <w:r w:rsidRPr="004D1BD5">
        <w:rPr>
          <w:szCs w:val="24"/>
        </w:rPr>
        <w:t xml:space="preserve"> with Glu93’ from another </w:t>
      </w:r>
      <w:proofErr w:type="spellStart"/>
      <w:r w:rsidRPr="004D1BD5">
        <w:rPr>
          <w:szCs w:val="24"/>
        </w:rPr>
        <w:t>mNT</w:t>
      </w:r>
      <w:proofErr w:type="spellEnd"/>
      <w:r w:rsidRPr="004D1BD5">
        <w:rPr>
          <w:szCs w:val="24"/>
        </w:rPr>
        <w:t xml:space="preserve"> protein</w:t>
      </w:r>
      <w:r>
        <w:rPr>
          <w:szCs w:val="24"/>
        </w:rPr>
        <w:t xml:space="preserve"> in the crystal</w:t>
      </w:r>
      <w:r w:rsidRPr="004D1BD5">
        <w:rPr>
          <w:szCs w:val="24"/>
        </w:rPr>
        <w:t>,</w:t>
      </w:r>
      <w:r w:rsidRPr="004D1BD5">
        <w:rPr>
          <w:b/>
          <w:szCs w:val="24"/>
        </w:rPr>
        <w:t xml:space="preserve"> A</w:t>
      </w:r>
      <w:r w:rsidRPr="005D6B03">
        <w:rPr>
          <w:bCs/>
          <w:szCs w:val="24"/>
        </w:rPr>
        <w:t>’s</w:t>
      </w:r>
      <w:r w:rsidRPr="004D1BD5">
        <w:rPr>
          <w:b/>
          <w:szCs w:val="24"/>
        </w:rPr>
        <w:t xml:space="preserve"> </w:t>
      </w:r>
      <w:r w:rsidRPr="004D1BD5">
        <w:rPr>
          <w:szCs w:val="24"/>
        </w:rPr>
        <w:t>tetralin forms π-cation interactions</w:t>
      </w:r>
      <w:r w:rsidRPr="004D1BD5">
        <w:rPr>
          <w:noProof/>
          <w:szCs w:val="24"/>
          <w:vertAlign w:val="superscript"/>
        </w:rPr>
        <w:t>14</w:t>
      </w:r>
      <w:r w:rsidRPr="004D1BD5">
        <w:rPr>
          <w:szCs w:val="24"/>
        </w:rPr>
        <w:t xml:space="preserve"> with Lys55’’ from a second </w:t>
      </w:r>
      <w:proofErr w:type="spellStart"/>
      <w:r w:rsidRPr="004D1BD5">
        <w:rPr>
          <w:szCs w:val="24"/>
        </w:rPr>
        <w:t>mNT</w:t>
      </w:r>
      <w:proofErr w:type="spellEnd"/>
      <w:r w:rsidRPr="004D1BD5">
        <w:rPr>
          <w:szCs w:val="24"/>
        </w:rPr>
        <w:t xml:space="preserve"> protein, as well as hydrophobic interactions with Pro54’’ and Val57’’ and with </w:t>
      </w:r>
      <w:r>
        <w:rPr>
          <w:szCs w:val="24"/>
        </w:rPr>
        <w:t>the</w:t>
      </w:r>
      <w:r w:rsidRPr="004D1BD5">
        <w:rPr>
          <w:szCs w:val="24"/>
        </w:rPr>
        <w:t xml:space="preserve"> ligand </w:t>
      </w:r>
      <w:r w:rsidRPr="004D1BD5">
        <w:rPr>
          <w:b/>
          <w:bCs/>
          <w:szCs w:val="24"/>
        </w:rPr>
        <w:t>A</w:t>
      </w:r>
      <w:r w:rsidRPr="004D1BD5">
        <w:rPr>
          <w:szCs w:val="24"/>
        </w:rPr>
        <w:t xml:space="preserve">’’ </w:t>
      </w:r>
      <w:r>
        <w:rPr>
          <w:szCs w:val="24"/>
        </w:rPr>
        <w:t xml:space="preserve">bound to the second protein </w:t>
      </w:r>
      <w:r w:rsidRPr="004D1BD5">
        <w:rPr>
          <w:szCs w:val="24"/>
        </w:rPr>
        <w:t>(Fig</w:t>
      </w:r>
      <w:r>
        <w:rPr>
          <w:szCs w:val="24"/>
        </w:rPr>
        <w:t>.</w:t>
      </w:r>
      <w:r w:rsidRPr="004D1BD5">
        <w:rPr>
          <w:szCs w:val="24"/>
        </w:rPr>
        <w:t xml:space="preserve"> 2). </w:t>
      </w:r>
      <w:r>
        <w:rPr>
          <w:szCs w:val="24"/>
        </w:rPr>
        <w:t xml:space="preserve">Therefore, such crystal contact might have favored this binding pose over other possible ones. Such overstabilization, is of course not present in a </w:t>
      </w:r>
      <w:r>
        <w:rPr>
          <w:i/>
          <w:iCs/>
          <w:szCs w:val="24"/>
        </w:rPr>
        <w:t>in cell</w:t>
      </w:r>
      <w:r>
        <w:rPr>
          <w:szCs w:val="24"/>
        </w:rPr>
        <w:t xml:space="preserve"> environment, opening the possibility of other binding poses and binding sites for </w:t>
      </w:r>
      <w:r w:rsidRPr="0030460F">
        <w:rPr>
          <w:b/>
          <w:bCs/>
          <w:szCs w:val="24"/>
        </w:rPr>
        <w:t>A</w:t>
      </w:r>
      <w:r>
        <w:rPr>
          <w:szCs w:val="24"/>
        </w:rPr>
        <w:t>.</w:t>
      </w:r>
    </w:p>
    <w:p w14:paraId="419C2403" w14:textId="77777777" w:rsidR="00FF380F" w:rsidRPr="000B68C1" w:rsidRDefault="00FF380F" w:rsidP="00460214">
      <w:pPr>
        <w:pStyle w:val="TAMainText"/>
        <w:jc w:val="center"/>
        <w:rPr>
          <w:sz w:val="16"/>
          <w:szCs w:val="16"/>
        </w:rPr>
      </w:pPr>
      <w:r w:rsidRPr="000B68C1">
        <w:rPr>
          <w:noProof/>
          <w:sz w:val="16"/>
          <w:szCs w:val="16"/>
        </w:rPr>
        <w:lastRenderedPageBreak/>
        <w:drawing>
          <wp:inline distT="0" distB="0" distL="0" distR="0" wp14:anchorId="6B3F6C73" wp14:editId="7B306E63">
            <wp:extent cx="5276850" cy="35528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6850" cy="3552825"/>
                    </a:xfrm>
                    <a:prstGeom prst="rect">
                      <a:avLst/>
                    </a:prstGeom>
                    <a:noFill/>
                    <a:ln>
                      <a:noFill/>
                    </a:ln>
                  </pic:spPr>
                </pic:pic>
              </a:graphicData>
            </a:graphic>
          </wp:inline>
        </w:drawing>
      </w:r>
    </w:p>
    <w:p w14:paraId="1E1E4FD9" w14:textId="77777777" w:rsidR="00FF380F" w:rsidRPr="000D692C" w:rsidRDefault="00FF380F" w:rsidP="00582D34">
      <w:pPr>
        <w:pStyle w:val="VAFigureCaption"/>
        <w:rPr>
          <w:sz w:val="21"/>
          <w:szCs w:val="21"/>
        </w:rPr>
      </w:pPr>
      <w:r w:rsidRPr="000D692C">
        <w:rPr>
          <w:rFonts w:hint="eastAsia"/>
          <w:b/>
          <w:sz w:val="21"/>
          <w:szCs w:val="21"/>
        </w:rPr>
        <w:t>F</w:t>
      </w:r>
      <w:r w:rsidRPr="000D692C">
        <w:rPr>
          <w:b/>
          <w:sz w:val="21"/>
          <w:szCs w:val="21"/>
        </w:rPr>
        <w:t>igure 2</w:t>
      </w:r>
      <w:bookmarkStart w:id="3" w:name="_Hlk110276978"/>
      <w:r w:rsidRPr="000D692C">
        <w:rPr>
          <w:b/>
          <w:sz w:val="21"/>
          <w:szCs w:val="21"/>
        </w:rPr>
        <w:t>. Ligand/protein interactions</w:t>
      </w:r>
      <w:r w:rsidRPr="000D692C">
        <w:rPr>
          <w:sz w:val="21"/>
          <w:szCs w:val="21"/>
        </w:rPr>
        <w:t xml:space="preserve"> </w:t>
      </w:r>
      <w:r w:rsidRPr="000D692C">
        <w:rPr>
          <w:b/>
          <w:sz w:val="21"/>
          <w:szCs w:val="21"/>
        </w:rPr>
        <w:t xml:space="preserve">in the X-ray structure of the </w:t>
      </w:r>
      <w:proofErr w:type="spellStart"/>
      <w:r w:rsidRPr="000D692C">
        <w:rPr>
          <w:b/>
          <w:sz w:val="21"/>
          <w:szCs w:val="21"/>
        </w:rPr>
        <w:t>A·mNT</w:t>
      </w:r>
      <w:proofErr w:type="spellEnd"/>
      <w:r w:rsidRPr="000D692C">
        <w:rPr>
          <w:b/>
          <w:sz w:val="21"/>
          <w:szCs w:val="21"/>
        </w:rPr>
        <w:t xml:space="preserve"> complex. A</w:t>
      </w:r>
      <w:r w:rsidRPr="000D692C">
        <w:rPr>
          <w:sz w:val="21"/>
          <w:szCs w:val="21"/>
        </w:rPr>
        <w:t xml:space="preserve">’s amide oxygen forms a H-bond with Lys68, its carboxylate group forms a salt bridge with Lys55 and a water molecule (blue dash, top panel), its phenyl ring forms hydrophobic interaction with Val70 and Cys83, its thiophene moiety with Pro100 and Ile102, and its tetralin group with Val57 (black dash, top panel). The binding pose is further stabilized by the interactions with two adjacent </w:t>
      </w:r>
      <w:proofErr w:type="spellStart"/>
      <w:r w:rsidRPr="000D692C">
        <w:rPr>
          <w:b/>
          <w:sz w:val="21"/>
          <w:szCs w:val="21"/>
        </w:rPr>
        <w:t>A</w:t>
      </w:r>
      <w:r w:rsidRPr="000D692C">
        <w:rPr>
          <w:sz w:val="21"/>
          <w:szCs w:val="21"/>
        </w:rPr>
        <w:t>·mNT</w:t>
      </w:r>
      <w:proofErr w:type="spellEnd"/>
      <w:r w:rsidRPr="000D692C">
        <w:rPr>
          <w:sz w:val="21"/>
          <w:szCs w:val="21"/>
        </w:rPr>
        <w:t xml:space="preserve"> complexes. It forms a π-anion interaction between its phenyl ring and Glu93’ (red dash, left panel), a</w:t>
      </w:r>
      <w:r w:rsidRPr="000D692C">
        <w:rPr>
          <w:b/>
          <w:sz w:val="21"/>
          <w:szCs w:val="21"/>
        </w:rPr>
        <w:t xml:space="preserve"> </w:t>
      </w:r>
      <w:r w:rsidRPr="000D692C">
        <w:rPr>
          <w:sz w:val="21"/>
          <w:szCs w:val="21"/>
        </w:rPr>
        <w:t xml:space="preserve">π-cation interaction with Lys55’’ (cyan dash) via its tetralin ring, as well as hydrophobic interactions with Pro54’’, Val57’’ and </w:t>
      </w:r>
      <w:r w:rsidRPr="000D692C">
        <w:rPr>
          <w:b/>
          <w:sz w:val="21"/>
          <w:szCs w:val="21"/>
        </w:rPr>
        <w:t>A</w:t>
      </w:r>
      <w:r w:rsidRPr="000D692C">
        <w:rPr>
          <w:sz w:val="21"/>
          <w:szCs w:val="21"/>
        </w:rPr>
        <w:t>’’ in complex’’ (black dash, right panel).</w:t>
      </w:r>
      <w:r w:rsidRPr="000D692C">
        <w:rPr>
          <w:b/>
          <w:sz w:val="21"/>
          <w:szCs w:val="21"/>
        </w:rPr>
        <w:t xml:space="preserve"> A </w:t>
      </w:r>
      <w:r w:rsidRPr="000D692C">
        <w:rPr>
          <w:sz w:val="21"/>
          <w:szCs w:val="21"/>
        </w:rPr>
        <w:t xml:space="preserve">is displayed as a wheat stick model, and </w:t>
      </w:r>
      <w:proofErr w:type="spellStart"/>
      <w:r w:rsidRPr="000D692C">
        <w:rPr>
          <w:sz w:val="21"/>
          <w:szCs w:val="21"/>
        </w:rPr>
        <w:t>mNT</w:t>
      </w:r>
      <w:proofErr w:type="spellEnd"/>
      <w:r w:rsidRPr="000D692C">
        <w:rPr>
          <w:sz w:val="21"/>
          <w:szCs w:val="21"/>
        </w:rPr>
        <w:t xml:space="preserve"> is shown with a green/slate cartoon. </w:t>
      </w:r>
      <w:bookmarkEnd w:id="3"/>
    </w:p>
    <w:p w14:paraId="0BE9F99F" w14:textId="77777777" w:rsidR="00FF380F" w:rsidRPr="005B459D" w:rsidRDefault="00FF380F" w:rsidP="00384062">
      <w:pPr>
        <w:pStyle w:val="TAMainText"/>
        <w:rPr>
          <w:szCs w:val="24"/>
        </w:rPr>
      </w:pPr>
      <w:r>
        <w:rPr>
          <w:szCs w:val="24"/>
        </w:rPr>
        <w:t>Here, we explore binding to the entire surface of the protein (that is, including regions other than that of the cluster). Namely, w</w:t>
      </w:r>
      <w:r w:rsidRPr="005B459D">
        <w:rPr>
          <w:szCs w:val="24"/>
        </w:rPr>
        <w:t xml:space="preserve">e predict the free energy landscape associated with poses all over the surface of the protein by using volume-based </w:t>
      </w:r>
      <w:proofErr w:type="spellStart"/>
      <w:r w:rsidRPr="005B459D">
        <w:rPr>
          <w:szCs w:val="24"/>
        </w:rPr>
        <w:t>metadynamics</w:t>
      </w:r>
      <w:proofErr w:type="spellEnd"/>
      <w:r w:rsidRPr="005B459D">
        <w:rPr>
          <w:szCs w:val="24"/>
        </w:rPr>
        <w:t>, developed</w:t>
      </w:r>
      <w:r>
        <w:rPr>
          <w:szCs w:val="24"/>
        </w:rPr>
        <w:t xml:space="preserve"> in a team involving </w:t>
      </w:r>
      <w:r w:rsidRPr="005B459D">
        <w:rPr>
          <w:szCs w:val="24"/>
        </w:rPr>
        <w:t>some of us</w:t>
      </w:r>
      <w:r w:rsidRPr="005B459D">
        <w:rPr>
          <w:noProof/>
          <w:szCs w:val="24"/>
          <w:vertAlign w:val="superscript"/>
        </w:rPr>
        <w:t>15</w:t>
      </w:r>
      <w:r w:rsidRPr="005B459D">
        <w:rPr>
          <w:szCs w:val="24"/>
        </w:rPr>
        <w:t xml:space="preserve">. We perform our protocol for both redox states of the [2Fe–2S] clusters and protonation states of the Fe-bound His87 (Table 1). </w:t>
      </w:r>
      <w:r w:rsidRPr="005B459D">
        <w:rPr>
          <w:szCs w:val="24"/>
        </w:rPr>
        <w:lastRenderedPageBreak/>
        <w:t xml:space="preserve">Anticipating our results, we find that the ligand </w:t>
      </w:r>
      <w:r>
        <w:rPr>
          <w:szCs w:val="24"/>
        </w:rPr>
        <w:t>can</w:t>
      </w:r>
      <w:r w:rsidRPr="005B459D">
        <w:rPr>
          <w:szCs w:val="24"/>
        </w:rPr>
        <w:t xml:space="preserve"> </w:t>
      </w:r>
      <w:r>
        <w:rPr>
          <w:szCs w:val="24"/>
        </w:rPr>
        <w:t xml:space="preserve">indeed </w:t>
      </w:r>
      <w:r w:rsidRPr="005B459D">
        <w:rPr>
          <w:szCs w:val="24"/>
        </w:rPr>
        <w:t xml:space="preserve">bind </w:t>
      </w:r>
      <w:r>
        <w:rPr>
          <w:szCs w:val="24"/>
        </w:rPr>
        <w:t xml:space="preserve">in </w:t>
      </w:r>
      <w:r w:rsidRPr="005B459D">
        <w:rPr>
          <w:szCs w:val="24"/>
        </w:rPr>
        <w:t xml:space="preserve">several binding poses </w:t>
      </w:r>
      <w:r>
        <w:rPr>
          <w:szCs w:val="24"/>
        </w:rPr>
        <w:t xml:space="preserve">and binding site other than the X-ray one. Because the free energy of binding turns out to correlate with the number of contacts between the ligand and the protein, the crystallographic pose is only transient in our simulations since there are no contacts with adjacent complexes in the crystals, like observed in the X-ray, that can stabilize such pose. </w:t>
      </w:r>
    </w:p>
    <w:p w14:paraId="2A1A0EAC" w14:textId="77777777" w:rsidR="00FF380F" w:rsidRPr="000B68C1" w:rsidRDefault="00FF380F" w:rsidP="00582D34">
      <w:pPr>
        <w:pStyle w:val="TAMainText"/>
        <w:ind w:firstLine="0"/>
        <w:rPr>
          <w:sz w:val="16"/>
          <w:szCs w:val="16"/>
        </w:rPr>
      </w:pPr>
    </w:p>
    <w:p w14:paraId="44B1A205" w14:textId="77777777" w:rsidR="00FF380F" w:rsidRPr="00850231" w:rsidRDefault="00FF380F" w:rsidP="00115271">
      <w:pPr>
        <w:pStyle w:val="VDTableTitle"/>
        <w:rPr>
          <w:sz w:val="21"/>
          <w:szCs w:val="21"/>
        </w:rPr>
      </w:pPr>
      <w:r w:rsidRPr="00850231">
        <w:rPr>
          <w:rFonts w:hint="eastAsia"/>
          <w:b/>
          <w:bCs/>
          <w:sz w:val="21"/>
          <w:szCs w:val="21"/>
        </w:rPr>
        <w:t>T</w:t>
      </w:r>
      <w:r w:rsidRPr="00850231">
        <w:rPr>
          <w:b/>
          <w:bCs/>
          <w:sz w:val="21"/>
          <w:szCs w:val="21"/>
        </w:rPr>
        <w:t xml:space="preserve">able 1. Simulated systems in this study. </w:t>
      </w:r>
      <w:r w:rsidRPr="00850231">
        <w:rPr>
          <w:sz w:val="21"/>
          <w:szCs w:val="21"/>
        </w:rPr>
        <w:t>Here we consider four complexes (</w:t>
      </w:r>
      <w:r w:rsidRPr="00850231">
        <w:rPr>
          <w:b/>
          <w:bCs/>
          <w:sz w:val="21"/>
          <w:szCs w:val="21"/>
        </w:rPr>
        <w:t>I</w:t>
      </w:r>
      <w:r w:rsidRPr="00850231">
        <w:rPr>
          <w:rFonts w:ascii="Times New Roman" w:eastAsia="宋体" w:hAnsi="Times New Roman"/>
          <w:sz w:val="21"/>
          <w:szCs w:val="21"/>
        </w:rPr>
        <w:t>–</w:t>
      </w:r>
      <w:r w:rsidRPr="00850231">
        <w:rPr>
          <w:b/>
          <w:bCs/>
          <w:sz w:val="21"/>
          <w:szCs w:val="21"/>
        </w:rPr>
        <w:t>IV</w:t>
      </w:r>
      <w:r w:rsidRPr="00850231">
        <w:rPr>
          <w:sz w:val="21"/>
          <w:szCs w:val="21"/>
        </w:rPr>
        <w:t xml:space="preserve">) of the </w:t>
      </w:r>
      <w:proofErr w:type="spellStart"/>
      <w:r w:rsidRPr="00850231">
        <w:rPr>
          <w:b/>
          <w:sz w:val="21"/>
          <w:szCs w:val="21"/>
        </w:rPr>
        <w:t>A</w:t>
      </w:r>
      <w:r w:rsidRPr="00850231">
        <w:rPr>
          <w:sz w:val="21"/>
          <w:szCs w:val="21"/>
        </w:rPr>
        <w:t>·mNT</w:t>
      </w:r>
      <w:proofErr w:type="spellEnd"/>
      <w:r w:rsidRPr="00850231">
        <w:rPr>
          <w:sz w:val="21"/>
          <w:szCs w:val="21"/>
        </w:rPr>
        <w:t xml:space="preserve"> complex. They differ from the oxidation state and N</w:t>
      </w:r>
      <w:r w:rsidRPr="00850231">
        <w:rPr>
          <w:rFonts w:ascii="Times New Roman" w:hAnsi="Times New Roman"/>
          <w:sz w:val="21"/>
          <w:szCs w:val="21"/>
          <w:vertAlign w:val="subscript"/>
        </w:rPr>
        <w:t>ε</w:t>
      </w:r>
      <w:r w:rsidRPr="00850231">
        <w:rPr>
          <w:sz w:val="21"/>
          <w:szCs w:val="21"/>
        </w:rPr>
        <w:t xml:space="preserve">@His87 protonation state for both clusters. Some of the details of the simulation setup are also included. </w:t>
      </w:r>
    </w:p>
    <w:tbl>
      <w:tblPr>
        <w:tblW w:w="9360" w:type="dxa"/>
        <w:tblLook w:val="04A0" w:firstRow="1" w:lastRow="0" w:firstColumn="1" w:lastColumn="0" w:noHBand="0" w:noVBand="1"/>
      </w:tblPr>
      <w:tblGrid>
        <w:gridCol w:w="1185"/>
        <w:gridCol w:w="1523"/>
        <w:gridCol w:w="1644"/>
        <w:gridCol w:w="1252"/>
        <w:gridCol w:w="1252"/>
        <w:gridCol w:w="1252"/>
        <w:gridCol w:w="1252"/>
      </w:tblGrid>
      <w:tr w:rsidR="00FF380F" w:rsidRPr="000B68C1" w14:paraId="383B231E" w14:textId="77777777" w:rsidTr="00A963D6">
        <w:tc>
          <w:tcPr>
            <w:tcW w:w="1185" w:type="dxa"/>
            <w:tcBorders>
              <w:top w:val="single" w:sz="4" w:space="0" w:color="auto"/>
              <w:bottom w:val="single" w:sz="4" w:space="0" w:color="auto"/>
            </w:tcBorders>
            <w:shd w:val="clear" w:color="auto" w:fill="auto"/>
            <w:vAlign w:val="center"/>
          </w:tcPr>
          <w:p w14:paraId="6DA162DE" w14:textId="77777777" w:rsidR="00FF380F" w:rsidRPr="000D692C" w:rsidRDefault="00FF380F" w:rsidP="00A963D6">
            <w:pPr>
              <w:pStyle w:val="TCTableBody"/>
              <w:jc w:val="center"/>
              <w:rPr>
                <w:sz w:val="21"/>
                <w:szCs w:val="21"/>
              </w:rPr>
            </w:pPr>
            <w:r w:rsidRPr="000D692C">
              <w:rPr>
                <w:sz w:val="21"/>
                <w:szCs w:val="21"/>
              </w:rPr>
              <w:t>Name</w:t>
            </w:r>
          </w:p>
        </w:tc>
        <w:tc>
          <w:tcPr>
            <w:tcW w:w="1523" w:type="dxa"/>
            <w:tcBorders>
              <w:top w:val="single" w:sz="4" w:space="0" w:color="auto"/>
              <w:bottom w:val="single" w:sz="4" w:space="0" w:color="auto"/>
            </w:tcBorders>
            <w:shd w:val="clear" w:color="auto" w:fill="auto"/>
            <w:vAlign w:val="center"/>
          </w:tcPr>
          <w:p w14:paraId="635AE2AC" w14:textId="77777777" w:rsidR="00FF380F" w:rsidRPr="000D692C" w:rsidRDefault="00FF380F" w:rsidP="00A963D6">
            <w:pPr>
              <w:pStyle w:val="TCTableBody"/>
              <w:jc w:val="center"/>
              <w:rPr>
                <w:sz w:val="21"/>
                <w:szCs w:val="21"/>
              </w:rPr>
            </w:pPr>
            <w:r w:rsidRPr="000D692C">
              <w:rPr>
                <w:sz w:val="21"/>
                <w:szCs w:val="21"/>
              </w:rPr>
              <w:t>Fe-bound histidine</w:t>
            </w:r>
          </w:p>
        </w:tc>
        <w:tc>
          <w:tcPr>
            <w:tcW w:w="1644" w:type="dxa"/>
            <w:tcBorders>
              <w:top w:val="single" w:sz="4" w:space="0" w:color="auto"/>
              <w:bottom w:val="single" w:sz="4" w:space="0" w:color="auto"/>
            </w:tcBorders>
            <w:shd w:val="clear" w:color="auto" w:fill="auto"/>
            <w:vAlign w:val="center"/>
          </w:tcPr>
          <w:p w14:paraId="30B6BC6C" w14:textId="77777777" w:rsidR="00FF380F" w:rsidRPr="000D692C" w:rsidRDefault="00FF380F" w:rsidP="00A963D6">
            <w:pPr>
              <w:pStyle w:val="TCTableBody"/>
              <w:jc w:val="center"/>
              <w:rPr>
                <w:sz w:val="21"/>
                <w:szCs w:val="21"/>
              </w:rPr>
            </w:pPr>
            <w:r w:rsidRPr="000D692C">
              <w:rPr>
                <w:sz w:val="21"/>
                <w:szCs w:val="21"/>
              </w:rPr>
              <w:t>Redox state</w:t>
            </w:r>
          </w:p>
        </w:tc>
        <w:tc>
          <w:tcPr>
            <w:tcW w:w="1252" w:type="dxa"/>
            <w:tcBorders>
              <w:top w:val="single" w:sz="4" w:space="0" w:color="auto"/>
              <w:bottom w:val="single" w:sz="4" w:space="0" w:color="auto"/>
            </w:tcBorders>
            <w:vAlign w:val="center"/>
          </w:tcPr>
          <w:p w14:paraId="6D675033" w14:textId="77777777" w:rsidR="00FF380F" w:rsidRPr="000D692C" w:rsidRDefault="00FF380F" w:rsidP="00A963D6">
            <w:pPr>
              <w:pStyle w:val="TCTableBody"/>
              <w:jc w:val="center"/>
              <w:rPr>
                <w:sz w:val="21"/>
                <w:szCs w:val="21"/>
              </w:rPr>
            </w:pPr>
            <w:r w:rsidRPr="000D692C">
              <w:rPr>
                <w:sz w:val="21"/>
                <w:szCs w:val="21"/>
              </w:rPr>
              <w:t>Charge of the protein (e)</w:t>
            </w:r>
          </w:p>
        </w:tc>
        <w:tc>
          <w:tcPr>
            <w:tcW w:w="1252" w:type="dxa"/>
            <w:tcBorders>
              <w:top w:val="single" w:sz="4" w:space="0" w:color="auto"/>
              <w:bottom w:val="single" w:sz="4" w:space="0" w:color="auto"/>
            </w:tcBorders>
            <w:vAlign w:val="center"/>
          </w:tcPr>
          <w:p w14:paraId="2F7CB3FB" w14:textId="77777777" w:rsidR="00FF380F" w:rsidRPr="000D692C" w:rsidRDefault="00FF380F" w:rsidP="00A963D6">
            <w:pPr>
              <w:pStyle w:val="TCTableBody"/>
              <w:jc w:val="center"/>
              <w:rPr>
                <w:sz w:val="21"/>
                <w:szCs w:val="21"/>
              </w:rPr>
            </w:pPr>
            <w:r w:rsidRPr="000D692C">
              <w:rPr>
                <w:sz w:val="21"/>
                <w:szCs w:val="21"/>
              </w:rPr>
              <w:t>Number of Na</w:t>
            </w:r>
            <w:r w:rsidRPr="000D692C">
              <w:rPr>
                <w:sz w:val="21"/>
                <w:szCs w:val="21"/>
                <w:vertAlign w:val="superscript"/>
              </w:rPr>
              <w:t>+</w:t>
            </w:r>
            <w:r w:rsidRPr="000D692C">
              <w:rPr>
                <w:sz w:val="21"/>
                <w:szCs w:val="21"/>
              </w:rPr>
              <w:t xml:space="preserve"> Ions</w:t>
            </w:r>
          </w:p>
        </w:tc>
        <w:tc>
          <w:tcPr>
            <w:tcW w:w="1252" w:type="dxa"/>
            <w:tcBorders>
              <w:top w:val="single" w:sz="4" w:space="0" w:color="auto"/>
              <w:bottom w:val="single" w:sz="4" w:space="0" w:color="auto"/>
            </w:tcBorders>
            <w:vAlign w:val="center"/>
          </w:tcPr>
          <w:p w14:paraId="5E117CF9" w14:textId="77777777" w:rsidR="00FF380F" w:rsidRPr="000D692C" w:rsidRDefault="00FF380F" w:rsidP="00A963D6">
            <w:pPr>
              <w:pStyle w:val="TCTableBody"/>
              <w:jc w:val="center"/>
              <w:rPr>
                <w:sz w:val="21"/>
                <w:szCs w:val="21"/>
              </w:rPr>
            </w:pPr>
            <w:r w:rsidRPr="000D692C">
              <w:rPr>
                <w:sz w:val="21"/>
                <w:szCs w:val="21"/>
              </w:rPr>
              <w:t>Number of Cl</w:t>
            </w:r>
            <w:r w:rsidRPr="000D692C">
              <w:rPr>
                <w:rFonts w:eastAsia="等线 Light"/>
                <w:sz w:val="21"/>
                <w:szCs w:val="21"/>
                <w:vertAlign w:val="superscript"/>
              </w:rPr>
              <w:t xml:space="preserve">− </w:t>
            </w:r>
            <w:r w:rsidRPr="000D692C">
              <w:rPr>
                <w:sz w:val="21"/>
                <w:szCs w:val="21"/>
              </w:rPr>
              <w:t>Ions</w:t>
            </w:r>
          </w:p>
        </w:tc>
        <w:tc>
          <w:tcPr>
            <w:tcW w:w="1252" w:type="dxa"/>
            <w:tcBorders>
              <w:top w:val="single" w:sz="4" w:space="0" w:color="auto"/>
              <w:bottom w:val="single" w:sz="4" w:space="0" w:color="auto"/>
            </w:tcBorders>
            <w:vAlign w:val="center"/>
          </w:tcPr>
          <w:p w14:paraId="5FF43FA9" w14:textId="77777777" w:rsidR="00FF380F" w:rsidRPr="000D692C" w:rsidRDefault="00FF380F" w:rsidP="00A963D6">
            <w:pPr>
              <w:pStyle w:val="TCTableBody"/>
              <w:jc w:val="center"/>
              <w:rPr>
                <w:sz w:val="21"/>
                <w:szCs w:val="21"/>
              </w:rPr>
            </w:pPr>
            <w:r w:rsidRPr="000D692C">
              <w:rPr>
                <w:sz w:val="21"/>
                <w:szCs w:val="21"/>
              </w:rPr>
              <w:t>Number of H</w:t>
            </w:r>
            <w:r w:rsidRPr="000D692C">
              <w:rPr>
                <w:sz w:val="21"/>
                <w:szCs w:val="21"/>
                <w:vertAlign w:val="subscript"/>
              </w:rPr>
              <w:t>2</w:t>
            </w:r>
            <w:r w:rsidRPr="000D692C">
              <w:rPr>
                <w:sz w:val="21"/>
                <w:szCs w:val="21"/>
              </w:rPr>
              <w:t>O molecules</w:t>
            </w:r>
          </w:p>
        </w:tc>
      </w:tr>
      <w:tr w:rsidR="00FF380F" w:rsidRPr="000B68C1" w14:paraId="0530CF37" w14:textId="77777777" w:rsidTr="00A963D6">
        <w:tc>
          <w:tcPr>
            <w:tcW w:w="1185" w:type="dxa"/>
            <w:tcBorders>
              <w:top w:val="single" w:sz="4" w:space="0" w:color="auto"/>
            </w:tcBorders>
            <w:shd w:val="clear" w:color="auto" w:fill="auto"/>
            <w:vAlign w:val="center"/>
          </w:tcPr>
          <w:p w14:paraId="4FBEFEE1" w14:textId="77777777" w:rsidR="00FF380F" w:rsidRPr="000D692C" w:rsidRDefault="00FF380F" w:rsidP="00A963D6">
            <w:pPr>
              <w:pStyle w:val="TCTableBody"/>
              <w:jc w:val="center"/>
              <w:rPr>
                <w:b/>
                <w:sz w:val="21"/>
                <w:szCs w:val="21"/>
              </w:rPr>
            </w:pPr>
            <w:r w:rsidRPr="000D692C">
              <w:rPr>
                <w:rFonts w:hint="eastAsia"/>
                <w:b/>
                <w:sz w:val="21"/>
                <w:szCs w:val="21"/>
              </w:rPr>
              <w:t>I</w:t>
            </w:r>
          </w:p>
        </w:tc>
        <w:tc>
          <w:tcPr>
            <w:tcW w:w="1523" w:type="dxa"/>
            <w:tcBorders>
              <w:top w:val="single" w:sz="4" w:space="0" w:color="auto"/>
            </w:tcBorders>
            <w:shd w:val="clear" w:color="auto" w:fill="auto"/>
            <w:vAlign w:val="center"/>
          </w:tcPr>
          <w:p w14:paraId="6D44D46E" w14:textId="77777777" w:rsidR="00FF380F" w:rsidRPr="000D692C" w:rsidRDefault="00FF380F" w:rsidP="00A963D6">
            <w:pPr>
              <w:pStyle w:val="TCTableBody"/>
              <w:jc w:val="center"/>
              <w:rPr>
                <w:sz w:val="21"/>
                <w:szCs w:val="21"/>
              </w:rPr>
            </w:pPr>
            <w:r w:rsidRPr="000D692C">
              <w:rPr>
                <w:sz w:val="21"/>
                <w:szCs w:val="21"/>
              </w:rPr>
              <w:t>imidazolate</w:t>
            </w:r>
          </w:p>
        </w:tc>
        <w:tc>
          <w:tcPr>
            <w:tcW w:w="1644" w:type="dxa"/>
            <w:tcBorders>
              <w:top w:val="single" w:sz="4" w:space="0" w:color="auto"/>
            </w:tcBorders>
            <w:shd w:val="clear" w:color="auto" w:fill="auto"/>
            <w:vAlign w:val="center"/>
          </w:tcPr>
          <w:p w14:paraId="04965FE0" w14:textId="77777777" w:rsidR="00FF380F" w:rsidRPr="000D692C" w:rsidRDefault="00FF380F" w:rsidP="00A963D6">
            <w:pPr>
              <w:pStyle w:val="TCTableBody"/>
              <w:jc w:val="center"/>
              <w:rPr>
                <w:sz w:val="21"/>
                <w:szCs w:val="21"/>
              </w:rPr>
            </w:pPr>
            <w:r w:rsidRPr="000D692C">
              <w:rPr>
                <w:sz w:val="21"/>
                <w:szCs w:val="21"/>
              </w:rPr>
              <w:t>Oxidized</w:t>
            </w:r>
          </w:p>
        </w:tc>
        <w:tc>
          <w:tcPr>
            <w:tcW w:w="1252" w:type="dxa"/>
            <w:tcBorders>
              <w:top w:val="single" w:sz="4" w:space="0" w:color="auto"/>
            </w:tcBorders>
            <w:vAlign w:val="center"/>
          </w:tcPr>
          <w:p w14:paraId="17E8B4AC" w14:textId="77777777" w:rsidR="00FF380F" w:rsidRPr="000D692C" w:rsidRDefault="00FF380F" w:rsidP="00A963D6">
            <w:pPr>
              <w:pStyle w:val="TCTableBody"/>
              <w:jc w:val="center"/>
              <w:rPr>
                <w:sz w:val="21"/>
                <w:szCs w:val="21"/>
              </w:rPr>
            </w:pPr>
            <w:r w:rsidRPr="000D692C">
              <w:rPr>
                <w:sz w:val="21"/>
                <w:szCs w:val="21"/>
              </w:rPr>
              <w:t>−2</w:t>
            </w:r>
          </w:p>
        </w:tc>
        <w:tc>
          <w:tcPr>
            <w:tcW w:w="1252" w:type="dxa"/>
            <w:tcBorders>
              <w:top w:val="single" w:sz="4" w:space="0" w:color="auto"/>
            </w:tcBorders>
            <w:vAlign w:val="center"/>
          </w:tcPr>
          <w:p w14:paraId="5567E8F9" w14:textId="77777777" w:rsidR="00FF380F" w:rsidRPr="000D692C" w:rsidRDefault="00FF380F" w:rsidP="00A963D6">
            <w:pPr>
              <w:pStyle w:val="TCTableBody"/>
              <w:jc w:val="center"/>
              <w:rPr>
                <w:sz w:val="21"/>
                <w:szCs w:val="21"/>
              </w:rPr>
            </w:pPr>
            <w:r w:rsidRPr="000D692C">
              <w:rPr>
                <w:sz w:val="21"/>
                <w:szCs w:val="21"/>
              </w:rPr>
              <w:t>54</w:t>
            </w:r>
          </w:p>
        </w:tc>
        <w:tc>
          <w:tcPr>
            <w:tcW w:w="1252" w:type="dxa"/>
            <w:tcBorders>
              <w:top w:val="single" w:sz="4" w:space="0" w:color="auto"/>
            </w:tcBorders>
            <w:vAlign w:val="center"/>
          </w:tcPr>
          <w:p w14:paraId="0E618508" w14:textId="77777777" w:rsidR="00FF380F" w:rsidRPr="000D692C" w:rsidRDefault="00FF380F" w:rsidP="00A963D6">
            <w:pPr>
              <w:pStyle w:val="TCTableBody"/>
              <w:jc w:val="center"/>
              <w:rPr>
                <w:sz w:val="21"/>
                <w:szCs w:val="21"/>
              </w:rPr>
            </w:pPr>
            <w:r w:rsidRPr="000D692C">
              <w:rPr>
                <w:sz w:val="21"/>
                <w:szCs w:val="21"/>
              </w:rPr>
              <w:t>51</w:t>
            </w:r>
          </w:p>
        </w:tc>
        <w:tc>
          <w:tcPr>
            <w:tcW w:w="1252" w:type="dxa"/>
            <w:tcBorders>
              <w:top w:val="single" w:sz="4" w:space="0" w:color="auto"/>
            </w:tcBorders>
            <w:vAlign w:val="center"/>
          </w:tcPr>
          <w:p w14:paraId="4E393EF3" w14:textId="77777777" w:rsidR="00FF380F" w:rsidRPr="000D692C" w:rsidRDefault="00FF380F" w:rsidP="00A963D6">
            <w:pPr>
              <w:pStyle w:val="TCTableBody"/>
              <w:jc w:val="center"/>
              <w:rPr>
                <w:sz w:val="21"/>
                <w:szCs w:val="21"/>
              </w:rPr>
            </w:pPr>
            <w:r w:rsidRPr="000D692C">
              <w:rPr>
                <w:sz w:val="21"/>
                <w:szCs w:val="21"/>
              </w:rPr>
              <w:t>28,562</w:t>
            </w:r>
          </w:p>
        </w:tc>
      </w:tr>
      <w:tr w:rsidR="00FF380F" w:rsidRPr="000B68C1" w14:paraId="3EAA8BD2" w14:textId="77777777" w:rsidTr="00A963D6">
        <w:tc>
          <w:tcPr>
            <w:tcW w:w="1185" w:type="dxa"/>
            <w:shd w:val="clear" w:color="auto" w:fill="auto"/>
            <w:vAlign w:val="center"/>
          </w:tcPr>
          <w:p w14:paraId="3C8A29C7" w14:textId="77777777" w:rsidR="00FF380F" w:rsidRPr="000D692C" w:rsidRDefault="00FF380F" w:rsidP="00A963D6">
            <w:pPr>
              <w:pStyle w:val="TCTableBody"/>
              <w:jc w:val="center"/>
              <w:rPr>
                <w:b/>
                <w:sz w:val="21"/>
                <w:szCs w:val="21"/>
              </w:rPr>
            </w:pPr>
            <w:r w:rsidRPr="000D692C">
              <w:rPr>
                <w:rFonts w:hint="eastAsia"/>
                <w:b/>
                <w:sz w:val="21"/>
                <w:szCs w:val="21"/>
              </w:rPr>
              <w:t>I</w:t>
            </w:r>
            <w:r w:rsidRPr="000D692C">
              <w:rPr>
                <w:b/>
                <w:sz w:val="21"/>
                <w:szCs w:val="21"/>
              </w:rPr>
              <w:t>I</w:t>
            </w:r>
          </w:p>
        </w:tc>
        <w:tc>
          <w:tcPr>
            <w:tcW w:w="1523" w:type="dxa"/>
            <w:shd w:val="clear" w:color="auto" w:fill="auto"/>
            <w:vAlign w:val="center"/>
          </w:tcPr>
          <w:p w14:paraId="1B7184FF" w14:textId="77777777" w:rsidR="00FF380F" w:rsidRPr="000D692C" w:rsidRDefault="00FF380F" w:rsidP="00A963D6">
            <w:pPr>
              <w:pStyle w:val="TCTableBody"/>
              <w:jc w:val="center"/>
              <w:rPr>
                <w:sz w:val="21"/>
                <w:szCs w:val="21"/>
              </w:rPr>
            </w:pPr>
            <w:r w:rsidRPr="000D692C">
              <w:rPr>
                <w:sz w:val="21"/>
                <w:szCs w:val="21"/>
              </w:rPr>
              <w:t>imidazole</w:t>
            </w:r>
          </w:p>
        </w:tc>
        <w:tc>
          <w:tcPr>
            <w:tcW w:w="1644" w:type="dxa"/>
            <w:shd w:val="clear" w:color="auto" w:fill="auto"/>
            <w:vAlign w:val="center"/>
          </w:tcPr>
          <w:p w14:paraId="6D07EBF9" w14:textId="77777777" w:rsidR="00FF380F" w:rsidRPr="000D692C" w:rsidRDefault="00FF380F" w:rsidP="00A963D6">
            <w:pPr>
              <w:pStyle w:val="TCTableBody"/>
              <w:jc w:val="center"/>
              <w:rPr>
                <w:sz w:val="21"/>
                <w:szCs w:val="21"/>
              </w:rPr>
            </w:pPr>
            <w:r w:rsidRPr="000D692C">
              <w:rPr>
                <w:sz w:val="21"/>
                <w:szCs w:val="21"/>
              </w:rPr>
              <w:t>Oxidized</w:t>
            </w:r>
          </w:p>
        </w:tc>
        <w:tc>
          <w:tcPr>
            <w:tcW w:w="1252" w:type="dxa"/>
            <w:vAlign w:val="center"/>
          </w:tcPr>
          <w:p w14:paraId="63F49848" w14:textId="77777777" w:rsidR="00FF380F" w:rsidRPr="000D692C" w:rsidRDefault="00FF380F" w:rsidP="00A963D6">
            <w:pPr>
              <w:pStyle w:val="TCTableBody"/>
              <w:jc w:val="center"/>
              <w:rPr>
                <w:sz w:val="21"/>
                <w:szCs w:val="21"/>
              </w:rPr>
            </w:pPr>
            <w:r w:rsidRPr="000D692C">
              <w:rPr>
                <w:rFonts w:hint="eastAsia"/>
                <w:sz w:val="21"/>
                <w:szCs w:val="21"/>
              </w:rPr>
              <w:t>0</w:t>
            </w:r>
          </w:p>
        </w:tc>
        <w:tc>
          <w:tcPr>
            <w:tcW w:w="1252" w:type="dxa"/>
            <w:vAlign w:val="center"/>
          </w:tcPr>
          <w:p w14:paraId="3982E07E" w14:textId="77777777" w:rsidR="00FF380F" w:rsidRPr="000D692C" w:rsidRDefault="00FF380F" w:rsidP="00A963D6">
            <w:pPr>
              <w:pStyle w:val="TCTableBody"/>
              <w:jc w:val="center"/>
              <w:rPr>
                <w:sz w:val="21"/>
                <w:szCs w:val="21"/>
              </w:rPr>
            </w:pPr>
            <w:r w:rsidRPr="000D692C">
              <w:rPr>
                <w:sz w:val="21"/>
                <w:szCs w:val="21"/>
              </w:rPr>
              <w:t>54</w:t>
            </w:r>
          </w:p>
        </w:tc>
        <w:tc>
          <w:tcPr>
            <w:tcW w:w="1252" w:type="dxa"/>
            <w:vAlign w:val="center"/>
          </w:tcPr>
          <w:p w14:paraId="6CEB0F8C" w14:textId="77777777" w:rsidR="00FF380F" w:rsidRPr="000D692C" w:rsidRDefault="00FF380F" w:rsidP="00A963D6">
            <w:pPr>
              <w:pStyle w:val="TCTableBody"/>
              <w:jc w:val="center"/>
              <w:rPr>
                <w:sz w:val="21"/>
                <w:szCs w:val="21"/>
              </w:rPr>
            </w:pPr>
            <w:r w:rsidRPr="000D692C">
              <w:rPr>
                <w:sz w:val="21"/>
                <w:szCs w:val="21"/>
              </w:rPr>
              <w:t>53</w:t>
            </w:r>
          </w:p>
        </w:tc>
        <w:tc>
          <w:tcPr>
            <w:tcW w:w="1252" w:type="dxa"/>
            <w:vAlign w:val="center"/>
          </w:tcPr>
          <w:p w14:paraId="10C05C88" w14:textId="77777777" w:rsidR="00FF380F" w:rsidRPr="000D692C" w:rsidRDefault="00FF380F" w:rsidP="00A963D6">
            <w:pPr>
              <w:pStyle w:val="TCTableBody"/>
              <w:jc w:val="center"/>
              <w:rPr>
                <w:sz w:val="21"/>
                <w:szCs w:val="21"/>
              </w:rPr>
            </w:pPr>
            <w:r w:rsidRPr="000D692C">
              <w:rPr>
                <w:sz w:val="21"/>
                <w:szCs w:val="21"/>
              </w:rPr>
              <w:t>28,561</w:t>
            </w:r>
          </w:p>
        </w:tc>
      </w:tr>
      <w:tr w:rsidR="00FF380F" w:rsidRPr="000B68C1" w14:paraId="48DDE13E" w14:textId="77777777" w:rsidTr="00A963D6">
        <w:tc>
          <w:tcPr>
            <w:tcW w:w="1185" w:type="dxa"/>
            <w:shd w:val="clear" w:color="auto" w:fill="auto"/>
            <w:vAlign w:val="center"/>
          </w:tcPr>
          <w:p w14:paraId="2FC2DCE5" w14:textId="77777777" w:rsidR="00FF380F" w:rsidRPr="000D692C" w:rsidRDefault="00FF380F" w:rsidP="00A963D6">
            <w:pPr>
              <w:pStyle w:val="TCTableBody"/>
              <w:jc w:val="center"/>
              <w:rPr>
                <w:b/>
                <w:sz w:val="21"/>
                <w:szCs w:val="21"/>
              </w:rPr>
            </w:pPr>
            <w:r w:rsidRPr="000D692C">
              <w:rPr>
                <w:rFonts w:hint="eastAsia"/>
                <w:b/>
                <w:sz w:val="21"/>
                <w:szCs w:val="21"/>
              </w:rPr>
              <w:t>III</w:t>
            </w:r>
          </w:p>
        </w:tc>
        <w:tc>
          <w:tcPr>
            <w:tcW w:w="1523" w:type="dxa"/>
            <w:shd w:val="clear" w:color="auto" w:fill="auto"/>
            <w:vAlign w:val="center"/>
          </w:tcPr>
          <w:p w14:paraId="61A0FC5B" w14:textId="77777777" w:rsidR="00FF380F" w:rsidRPr="000D692C" w:rsidRDefault="00FF380F" w:rsidP="00A963D6">
            <w:pPr>
              <w:pStyle w:val="TCTableBody"/>
              <w:jc w:val="center"/>
              <w:rPr>
                <w:sz w:val="21"/>
                <w:szCs w:val="21"/>
              </w:rPr>
            </w:pPr>
            <w:r w:rsidRPr="000D692C">
              <w:rPr>
                <w:sz w:val="21"/>
                <w:szCs w:val="21"/>
              </w:rPr>
              <w:t>imidazolate</w:t>
            </w:r>
          </w:p>
        </w:tc>
        <w:tc>
          <w:tcPr>
            <w:tcW w:w="1644" w:type="dxa"/>
            <w:shd w:val="clear" w:color="auto" w:fill="auto"/>
            <w:vAlign w:val="center"/>
          </w:tcPr>
          <w:p w14:paraId="77FE0D9D" w14:textId="77777777" w:rsidR="00FF380F" w:rsidRPr="000D692C" w:rsidRDefault="00FF380F" w:rsidP="00A963D6">
            <w:pPr>
              <w:pStyle w:val="TCTableBody"/>
              <w:jc w:val="center"/>
              <w:rPr>
                <w:sz w:val="21"/>
                <w:szCs w:val="21"/>
              </w:rPr>
            </w:pPr>
            <w:r w:rsidRPr="000D692C">
              <w:rPr>
                <w:sz w:val="21"/>
                <w:szCs w:val="21"/>
              </w:rPr>
              <w:t>Reduced</w:t>
            </w:r>
          </w:p>
        </w:tc>
        <w:tc>
          <w:tcPr>
            <w:tcW w:w="1252" w:type="dxa"/>
            <w:vAlign w:val="center"/>
          </w:tcPr>
          <w:p w14:paraId="685D4914" w14:textId="77777777" w:rsidR="00FF380F" w:rsidRPr="000D692C" w:rsidRDefault="00FF380F" w:rsidP="00A963D6">
            <w:pPr>
              <w:pStyle w:val="TCTableBody"/>
              <w:jc w:val="center"/>
              <w:rPr>
                <w:sz w:val="21"/>
                <w:szCs w:val="21"/>
              </w:rPr>
            </w:pPr>
            <w:r w:rsidRPr="000D692C">
              <w:rPr>
                <w:sz w:val="21"/>
                <w:szCs w:val="21"/>
              </w:rPr>
              <w:t>−4</w:t>
            </w:r>
          </w:p>
        </w:tc>
        <w:tc>
          <w:tcPr>
            <w:tcW w:w="1252" w:type="dxa"/>
            <w:vAlign w:val="center"/>
          </w:tcPr>
          <w:p w14:paraId="5DC966A5" w14:textId="77777777" w:rsidR="00FF380F" w:rsidRPr="000D692C" w:rsidRDefault="00FF380F" w:rsidP="00A963D6">
            <w:pPr>
              <w:pStyle w:val="TCTableBody"/>
              <w:jc w:val="center"/>
              <w:rPr>
                <w:sz w:val="21"/>
                <w:szCs w:val="21"/>
              </w:rPr>
            </w:pPr>
            <w:r w:rsidRPr="000D692C">
              <w:rPr>
                <w:sz w:val="21"/>
                <w:szCs w:val="21"/>
              </w:rPr>
              <w:t>54</w:t>
            </w:r>
          </w:p>
        </w:tc>
        <w:tc>
          <w:tcPr>
            <w:tcW w:w="1252" w:type="dxa"/>
            <w:vAlign w:val="center"/>
          </w:tcPr>
          <w:p w14:paraId="1273B4BE" w14:textId="77777777" w:rsidR="00FF380F" w:rsidRPr="000D692C" w:rsidRDefault="00FF380F" w:rsidP="00A963D6">
            <w:pPr>
              <w:pStyle w:val="TCTableBody"/>
              <w:jc w:val="center"/>
              <w:rPr>
                <w:sz w:val="21"/>
                <w:szCs w:val="21"/>
              </w:rPr>
            </w:pPr>
            <w:r w:rsidRPr="000D692C">
              <w:rPr>
                <w:sz w:val="21"/>
                <w:szCs w:val="21"/>
              </w:rPr>
              <w:t>49</w:t>
            </w:r>
          </w:p>
        </w:tc>
        <w:tc>
          <w:tcPr>
            <w:tcW w:w="1252" w:type="dxa"/>
            <w:vAlign w:val="center"/>
          </w:tcPr>
          <w:p w14:paraId="7BE9869B" w14:textId="77777777" w:rsidR="00FF380F" w:rsidRPr="000D692C" w:rsidRDefault="00FF380F" w:rsidP="00A963D6">
            <w:pPr>
              <w:pStyle w:val="TCTableBody"/>
              <w:jc w:val="center"/>
              <w:rPr>
                <w:sz w:val="21"/>
                <w:szCs w:val="21"/>
              </w:rPr>
            </w:pPr>
            <w:r w:rsidRPr="000D692C">
              <w:rPr>
                <w:sz w:val="21"/>
                <w:szCs w:val="21"/>
              </w:rPr>
              <w:t>28,564</w:t>
            </w:r>
          </w:p>
        </w:tc>
      </w:tr>
      <w:tr w:rsidR="00FF380F" w:rsidRPr="000B68C1" w14:paraId="7E22148C" w14:textId="77777777" w:rsidTr="00A963D6">
        <w:tc>
          <w:tcPr>
            <w:tcW w:w="1185" w:type="dxa"/>
            <w:tcBorders>
              <w:bottom w:val="single" w:sz="4" w:space="0" w:color="auto"/>
            </w:tcBorders>
            <w:shd w:val="clear" w:color="auto" w:fill="auto"/>
            <w:vAlign w:val="center"/>
          </w:tcPr>
          <w:p w14:paraId="0316E7F6" w14:textId="77777777" w:rsidR="00FF380F" w:rsidRPr="000D692C" w:rsidRDefault="00FF380F" w:rsidP="00A963D6">
            <w:pPr>
              <w:pStyle w:val="TCTableBody"/>
              <w:jc w:val="center"/>
              <w:rPr>
                <w:b/>
                <w:sz w:val="21"/>
                <w:szCs w:val="21"/>
              </w:rPr>
            </w:pPr>
            <w:r w:rsidRPr="000D692C">
              <w:rPr>
                <w:rFonts w:hint="eastAsia"/>
                <w:b/>
                <w:sz w:val="21"/>
                <w:szCs w:val="21"/>
              </w:rPr>
              <w:t>I</w:t>
            </w:r>
            <w:r w:rsidRPr="000D692C">
              <w:rPr>
                <w:b/>
                <w:sz w:val="21"/>
                <w:szCs w:val="21"/>
              </w:rPr>
              <w:t>V</w:t>
            </w:r>
          </w:p>
        </w:tc>
        <w:tc>
          <w:tcPr>
            <w:tcW w:w="1523" w:type="dxa"/>
            <w:tcBorders>
              <w:bottom w:val="single" w:sz="4" w:space="0" w:color="auto"/>
            </w:tcBorders>
            <w:shd w:val="clear" w:color="auto" w:fill="auto"/>
            <w:vAlign w:val="center"/>
          </w:tcPr>
          <w:p w14:paraId="20CD7314" w14:textId="77777777" w:rsidR="00FF380F" w:rsidRPr="000D692C" w:rsidRDefault="00FF380F" w:rsidP="00A963D6">
            <w:pPr>
              <w:pStyle w:val="TCTableBody"/>
              <w:jc w:val="center"/>
              <w:rPr>
                <w:sz w:val="21"/>
                <w:szCs w:val="21"/>
              </w:rPr>
            </w:pPr>
            <w:r w:rsidRPr="000D692C">
              <w:rPr>
                <w:sz w:val="21"/>
                <w:szCs w:val="21"/>
              </w:rPr>
              <w:t>imidazole</w:t>
            </w:r>
          </w:p>
        </w:tc>
        <w:tc>
          <w:tcPr>
            <w:tcW w:w="1644" w:type="dxa"/>
            <w:tcBorders>
              <w:bottom w:val="single" w:sz="4" w:space="0" w:color="auto"/>
            </w:tcBorders>
            <w:shd w:val="clear" w:color="auto" w:fill="auto"/>
            <w:vAlign w:val="center"/>
          </w:tcPr>
          <w:p w14:paraId="04C48E47" w14:textId="77777777" w:rsidR="00FF380F" w:rsidRPr="000D692C" w:rsidRDefault="00FF380F" w:rsidP="00A963D6">
            <w:pPr>
              <w:pStyle w:val="TCTableBody"/>
              <w:jc w:val="center"/>
              <w:rPr>
                <w:sz w:val="21"/>
                <w:szCs w:val="21"/>
              </w:rPr>
            </w:pPr>
            <w:r w:rsidRPr="000D692C">
              <w:rPr>
                <w:sz w:val="21"/>
                <w:szCs w:val="21"/>
              </w:rPr>
              <w:t>Reduced</w:t>
            </w:r>
          </w:p>
        </w:tc>
        <w:tc>
          <w:tcPr>
            <w:tcW w:w="1252" w:type="dxa"/>
            <w:tcBorders>
              <w:bottom w:val="single" w:sz="4" w:space="0" w:color="auto"/>
            </w:tcBorders>
            <w:vAlign w:val="center"/>
          </w:tcPr>
          <w:p w14:paraId="0392F344" w14:textId="77777777" w:rsidR="00FF380F" w:rsidRPr="000D692C" w:rsidRDefault="00FF380F" w:rsidP="00A963D6">
            <w:pPr>
              <w:pStyle w:val="TCTableBody"/>
              <w:jc w:val="center"/>
              <w:rPr>
                <w:sz w:val="21"/>
                <w:szCs w:val="21"/>
              </w:rPr>
            </w:pPr>
            <w:r w:rsidRPr="000D692C">
              <w:rPr>
                <w:sz w:val="21"/>
                <w:szCs w:val="21"/>
              </w:rPr>
              <w:t>−2</w:t>
            </w:r>
          </w:p>
        </w:tc>
        <w:tc>
          <w:tcPr>
            <w:tcW w:w="1252" w:type="dxa"/>
            <w:tcBorders>
              <w:bottom w:val="single" w:sz="4" w:space="0" w:color="auto"/>
            </w:tcBorders>
            <w:vAlign w:val="center"/>
          </w:tcPr>
          <w:p w14:paraId="378B3765" w14:textId="77777777" w:rsidR="00FF380F" w:rsidRPr="000D692C" w:rsidRDefault="00FF380F" w:rsidP="00A963D6">
            <w:pPr>
              <w:pStyle w:val="TCTableBody"/>
              <w:jc w:val="center"/>
              <w:rPr>
                <w:sz w:val="21"/>
                <w:szCs w:val="21"/>
              </w:rPr>
            </w:pPr>
            <w:r w:rsidRPr="000D692C">
              <w:rPr>
                <w:sz w:val="21"/>
                <w:szCs w:val="21"/>
              </w:rPr>
              <w:t>54</w:t>
            </w:r>
          </w:p>
        </w:tc>
        <w:tc>
          <w:tcPr>
            <w:tcW w:w="1252" w:type="dxa"/>
            <w:tcBorders>
              <w:bottom w:val="single" w:sz="4" w:space="0" w:color="auto"/>
            </w:tcBorders>
            <w:vAlign w:val="center"/>
          </w:tcPr>
          <w:p w14:paraId="72D8E04D" w14:textId="77777777" w:rsidR="00FF380F" w:rsidRPr="000D692C" w:rsidRDefault="00FF380F" w:rsidP="00A963D6">
            <w:pPr>
              <w:pStyle w:val="TCTableBody"/>
              <w:jc w:val="center"/>
              <w:rPr>
                <w:sz w:val="21"/>
                <w:szCs w:val="21"/>
              </w:rPr>
            </w:pPr>
            <w:r w:rsidRPr="000D692C">
              <w:rPr>
                <w:sz w:val="21"/>
                <w:szCs w:val="21"/>
              </w:rPr>
              <w:t>51</w:t>
            </w:r>
          </w:p>
        </w:tc>
        <w:tc>
          <w:tcPr>
            <w:tcW w:w="1252" w:type="dxa"/>
            <w:tcBorders>
              <w:bottom w:val="single" w:sz="4" w:space="0" w:color="auto"/>
            </w:tcBorders>
            <w:vAlign w:val="center"/>
          </w:tcPr>
          <w:p w14:paraId="0521D62C" w14:textId="77777777" w:rsidR="00FF380F" w:rsidRPr="000D692C" w:rsidRDefault="00FF380F" w:rsidP="00A963D6">
            <w:pPr>
              <w:pStyle w:val="TCTableBody"/>
              <w:jc w:val="center"/>
              <w:rPr>
                <w:sz w:val="21"/>
                <w:szCs w:val="21"/>
              </w:rPr>
            </w:pPr>
            <w:r w:rsidRPr="000D692C">
              <w:rPr>
                <w:sz w:val="21"/>
                <w:szCs w:val="21"/>
              </w:rPr>
              <w:t>28,563</w:t>
            </w:r>
          </w:p>
        </w:tc>
      </w:tr>
    </w:tbl>
    <w:p w14:paraId="7C7B3265" w14:textId="77777777" w:rsidR="00FF380F" w:rsidRPr="00E23E1E" w:rsidRDefault="00FF380F" w:rsidP="00CC67A0">
      <w:pPr>
        <w:pStyle w:val="TAMainText"/>
        <w:rPr>
          <w:szCs w:val="24"/>
        </w:rPr>
      </w:pPr>
    </w:p>
    <w:p w14:paraId="1D49507E" w14:textId="77777777" w:rsidR="00FF380F" w:rsidRPr="00E23E1E" w:rsidRDefault="00FF380F" w:rsidP="00DC45CD">
      <w:pPr>
        <w:pStyle w:val="TAMainText"/>
        <w:numPr>
          <w:ilvl w:val="0"/>
          <w:numId w:val="12"/>
        </w:numPr>
        <w:rPr>
          <w:b/>
          <w:bCs/>
          <w:szCs w:val="24"/>
        </w:rPr>
      </w:pPr>
      <w:r w:rsidRPr="00E23E1E">
        <w:rPr>
          <w:b/>
          <w:bCs/>
          <w:szCs w:val="24"/>
        </w:rPr>
        <w:t>METHODS</w:t>
      </w:r>
    </w:p>
    <w:p w14:paraId="20A1B8BC" w14:textId="77777777" w:rsidR="00FF380F" w:rsidRPr="00E23E1E" w:rsidRDefault="00FF380F" w:rsidP="00B5585B">
      <w:pPr>
        <w:pStyle w:val="TAMainText"/>
        <w:ind w:firstLine="0"/>
        <w:rPr>
          <w:b/>
          <w:bCs/>
          <w:szCs w:val="24"/>
        </w:rPr>
      </w:pPr>
      <w:r w:rsidRPr="00E23E1E">
        <w:rPr>
          <w:b/>
          <w:bCs/>
          <w:szCs w:val="24"/>
          <w:lang w:eastAsia="zh-CN"/>
        </w:rPr>
        <w:t>2.1</w:t>
      </w:r>
      <w:r w:rsidRPr="00E23E1E">
        <w:rPr>
          <w:b/>
          <w:bCs/>
          <w:szCs w:val="24"/>
          <w:lang w:eastAsia="zh-CN"/>
        </w:rPr>
        <w:tab/>
      </w:r>
      <w:r w:rsidRPr="00E23E1E">
        <w:rPr>
          <w:rFonts w:hint="eastAsia"/>
          <w:b/>
          <w:bCs/>
          <w:szCs w:val="24"/>
          <w:lang w:eastAsia="zh-CN"/>
        </w:rPr>
        <w:t>L</w:t>
      </w:r>
      <w:r w:rsidRPr="00E23E1E">
        <w:rPr>
          <w:b/>
          <w:bCs/>
          <w:szCs w:val="24"/>
          <w:lang w:eastAsia="zh-CN"/>
        </w:rPr>
        <w:t>igand preparation.</w:t>
      </w:r>
      <w:r w:rsidRPr="00E23E1E">
        <w:rPr>
          <w:szCs w:val="24"/>
          <w:lang w:eastAsia="zh-CN"/>
        </w:rPr>
        <w:t xml:space="preserve"> </w:t>
      </w:r>
      <w:r w:rsidRPr="00E23E1E">
        <w:rPr>
          <w:b/>
          <w:bCs/>
          <w:szCs w:val="24"/>
        </w:rPr>
        <w:t xml:space="preserve">A </w:t>
      </w:r>
      <w:r w:rsidRPr="00E23E1E">
        <w:rPr>
          <w:szCs w:val="24"/>
        </w:rPr>
        <w:t>was constructed using ChemBio3D Ultra 12.0</w:t>
      </w:r>
      <w:r>
        <w:rPr>
          <w:szCs w:val="24"/>
        </w:rPr>
        <w:t>.</w:t>
      </w:r>
      <w:r w:rsidRPr="00E23E1E">
        <w:rPr>
          <w:szCs w:val="24"/>
        </w:rPr>
        <w:t xml:space="preserve"> </w:t>
      </w:r>
      <w:r>
        <w:rPr>
          <w:szCs w:val="24"/>
        </w:rPr>
        <w:t>It was</w:t>
      </w:r>
      <w:r w:rsidRPr="00E23E1E">
        <w:rPr>
          <w:szCs w:val="24"/>
        </w:rPr>
        <w:t xml:space="preserve"> energy-minimized </w:t>
      </w:r>
      <w:r>
        <w:rPr>
          <w:szCs w:val="24"/>
        </w:rPr>
        <w:t>first</w:t>
      </w:r>
      <w:r w:rsidRPr="00E23E1E">
        <w:rPr>
          <w:szCs w:val="24"/>
        </w:rPr>
        <w:t xml:space="preserve"> to the minimal root mean squared (RMS) gradient of 0.01 kcal·m</w:t>
      </w:r>
      <w:r w:rsidRPr="00E23E1E">
        <w:rPr>
          <w:rFonts w:eastAsia="等线 Light"/>
          <w:szCs w:val="24"/>
        </w:rPr>
        <w:t>ol</w:t>
      </w:r>
      <w:r w:rsidRPr="00E23E1E">
        <w:rPr>
          <w:rFonts w:eastAsia="等线 Light"/>
          <w:szCs w:val="24"/>
          <w:vertAlign w:val="superscript"/>
        </w:rPr>
        <w:t>-1</w:t>
      </w:r>
      <w:r w:rsidRPr="00E23E1E">
        <w:rPr>
          <w:rFonts w:eastAsia="等线 Light"/>
          <w:szCs w:val="24"/>
        </w:rPr>
        <w:t>·Å</w:t>
      </w:r>
      <w:r w:rsidRPr="00E23E1E">
        <w:rPr>
          <w:rFonts w:eastAsia="等线 Light"/>
          <w:szCs w:val="24"/>
          <w:vertAlign w:val="superscript"/>
        </w:rPr>
        <w:t>-1</w:t>
      </w:r>
      <w:r w:rsidRPr="00E23E1E">
        <w:rPr>
          <w:szCs w:val="24"/>
        </w:rPr>
        <w:t>, based on the MM2 force field</w:t>
      </w:r>
      <w:r w:rsidRPr="00E23E1E">
        <w:rPr>
          <w:noProof/>
          <w:szCs w:val="24"/>
          <w:vertAlign w:val="superscript"/>
        </w:rPr>
        <w:t>16</w:t>
      </w:r>
      <w:r w:rsidRPr="00E23E1E">
        <w:rPr>
          <w:szCs w:val="24"/>
        </w:rPr>
        <w:t>, using Chem3D 16.0, and then</w:t>
      </w:r>
      <w:r>
        <w:rPr>
          <w:rFonts w:eastAsia="等线 Light"/>
          <w:szCs w:val="24"/>
        </w:rPr>
        <w:t xml:space="preserve"> </w:t>
      </w:r>
      <w:r w:rsidRPr="00E23E1E">
        <w:rPr>
          <w:rFonts w:eastAsia="等线 Light"/>
          <w:szCs w:val="24"/>
        </w:rPr>
        <w:t xml:space="preserve">to the maximum and RMS force on the nuclei are less than 0.00045 </w:t>
      </w:r>
      <w:proofErr w:type="spellStart"/>
      <w:r w:rsidRPr="00E23E1E">
        <w:rPr>
          <w:rFonts w:eastAsia="等线 Light"/>
          <w:szCs w:val="24"/>
        </w:rPr>
        <w:t>Hartrees</w:t>
      </w:r>
      <w:proofErr w:type="spellEnd"/>
      <w:r w:rsidRPr="00E23E1E">
        <w:rPr>
          <w:rFonts w:eastAsia="等线 Light"/>
          <w:szCs w:val="24"/>
        </w:rPr>
        <w:t xml:space="preserve">/Bohr and 0.00035 </w:t>
      </w:r>
      <w:proofErr w:type="spellStart"/>
      <w:r w:rsidRPr="00E23E1E">
        <w:rPr>
          <w:rFonts w:eastAsia="等线 Light"/>
          <w:szCs w:val="24"/>
        </w:rPr>
        <w:t>Hartrees</w:t>
      </w:r>
      <w:proofErr w:type="spellEnd"/>
      <w:r w:rsidRPr="00E23E1E">
        <w:rPr>
          <w:rFonts w:eastAsia="等线 Light"/>
          <w:szCs w:val="24"/>
        </w:rPr>
        <w:t xml:space="preserve">/Bohr, respectively, and the maximum and RMS nuclei displacement are less than 0.0018 Å and 0.0012 Å, respectively, at the </w:t>
      </w:r>
      <w:r w:rsidRPr="00E23E1E">
        <w:rPr>
          <w:szCs w:val="24"/>
        </w:rPr>
        <w:t>HF/6-31G(d)</w:t>
      </w:r>
      <w:r w:rsidRPr="00E23E1E">
        <w:rPr>
          <w:noProof/>
          <w:szCs w:val="24"/>
          <w:vertAlign w:val="superscript"/>
        </w:rPr>
        <w:t xml:space="preserve"> 17, 18</w:t>
      </w:r>
      <w:r w:rsidRPr="00E23E1E">
        <w:rPr>
          <w:szCs w:val="24"/>
        </w:rPr>
        <w:t xml:space="preserve"> level of theory, employing Gaussian 09 software package</w:t>
      </w:r>
      <w:r w:rsidRPr="00E23E1E">
        <w:rPr>
          <w:noProof/>
          <w:szCs w:val="24"/>
          <w:vertAlign w:val="superscript"/>
        </w:rPr>
        <w:t>19</w:t>
      </w:r>
      <w:r w:rsidRPr="00E23E1E">
        <w:rPr>
          <w:szCs w:val="24"/>
        </w:rPr>
        <w:t xml:space="preserve">. </w:t>
      </w:r>
    </w:p>
    <w:p w14:paraId="7738B84B" w14:textId="77777777" w:rsidR="00FF380F" w:rsidRPr="00E23E1E" w:rsidRDefault="00FF380F" w:rsidP="00B5585B">
      <w:pPr>
        <w:pStyle w:val="TAMainText"/>
        <w:ind w:firstLine="0"/>
        <w:rPr>
          <w:szCs w:val="24"/>
        </w:rPr>
      </w:pPr>
      <w:r w:rsidRPr="00E23E1E">
        <w:rPr>
          <w:b/>
          <w:bCs/>
          <w:szCs w:val="24"/>
          <w:lang w:eastAsia="zh-CN"/>
        </w:rPr>
        <w:lastRenderedPageBreak/>
        <w:t>2.2</w:t>
      </w:r>
      <w:r w:rsidRPr="00E23E1E">
        <w:rPr>
          <w:b/>
          <w:bCs/>
          <w:szCs w:val="24"/>
          <w:lang w:eastAsia="zh-CN"/>
        </w:rPr>
        <w:tab/>
        <w:t>Molecular docking.</w:t>
      </w:r>
      <w:r w:rsidRPr="00E23E1E">
        <w:rPr>
          <w:szCs w:val="24"/>
          <w:lang w:eastAsia="zh-CN"/>
        </w:rPr>
        <w:t xml:space="preserve"> </w:t>
      </w:r>
      <w:r>
        <w:rPr>
          <w:szCs w:val="24"/>
        </w:rPr>
        <w:t>W</w:t>
      </w:r>
      <w:r w:rsidRPr="00E23E1E">
        <w:rPr>
          <w:szCs w:val="24"/>
        </w:rPr>
        <w:t xml:space="preserve">e generated an educated starting structure of the ligand close to the </w:t>
      </w:r>
      <w:r>
        <w:rPr>
          <w:szCs w:val="24"/>
        </w:rPr>
        <w:t>[2</w:t>
      </w:r>
      <w:r w:rsidRPr="00E23E1E">
        <w:rPr>
          <w:szCs w:val="24"/>
        </w:rPr>
        <w:t>Fe–</w:t>
      </w:r>
      <w:r>
        <w:rPr>
          <w:szCs w:val="24"/>
        </w:rPr>
        <w:t>2</w:t>
      </w:r>
      <w:r w:rsidRPr="00E23E1E">
        <w:rPr>
          <w:szCs w:val="24"/>
        </w:rPr>
        <w:t>S</w:t>
      </w:r>
      <w:r>
        <w:rPr>
          <w:szCs w:val="24"/>
        </w:rPr>
        <w:t>]</w:t>
      </w:r>
      <w:r w:rsidRPr="00E23E1E">
        <w:rPr>
          <w:szCs w:val="24"/>
        </w:rPr>
        <w:t xml:space="preserve"> cluster by docking the ligand </w:t>
      </w:r>
      <w:r w:rsidRPr="00E23E1E">
        <w:rPr>
          <w:b/>
          <w:bCs/>
          <w:szCs w:val="24"/>
        </w:rPr>
        <w:t xml:space="preserve">A </w:t>
      </w:r>
      <w:r w:rsidRPr="00E23E1E">
        <w:rPr>
          <w:szCs w:val="24"/>
        </w:rPr>
        <w:t xml:space="preserve">on oxidized human </w:t>
      </w:r>
      <w:proofErr w:type="spellStart"/>
      <w:r w:rsidRPr="00E23E1E">
        <w:rPr>
          <w:szCs w:val="24"/>
        </w:rPr>
        <w:t>mNT</w:t>
      </w:r>
      <w:proofErr w:type="spellEnd"/>
      <w:r w:rsidRPr="00E23E1E">
        <w:rPr>
          <w:szCs w:val="24"/>
        </w:rPr>
        <w:t xml:space="preserve"> cytosolic domain in the free state (PDB ID: 2QH7)</w:t>
      </w:r>
      <w:r w:rsidRPr="00E23E1E">
        <w:rPr>
          <w:noProof/>
          <w:szCs w:val="24"/>
          <w:vertAlign w:val="superscript"/>
        </w:rPr>
        <w:t xml:space="preserve"> 1</w:t>
      </w:r>
      <w:r w:rsidRPr="00E23E1E">
        <w:rPr>
          <w:szCs w:val="24"/>
        </w:rPr>
        <w:t>. Th</w:t>
      </w:r>
      <w:r>
        <w:rPr>
          <w:szCs w:val="24"/>
        </w:rPr>
        <w:t>is procedure does not to bias the molecular dynamics simulations towards the pose of the X-ray structure of the complex</w:t>
      </w:r>
      <w:r w:rsidRPr="00E23E1E">
        <w:rPr>
          <w:noProof/>
          <w:szCs w:val="24"/>
          <w:vertAlign w:val="superscript"/>
        </w:rPr>
        <w:t>1</w:t>
      </w:r>
      <w:r>
        <w:rPr>
          <w:szCs w:val="24"/>
        </w:rPr>
        <w:t>.</w:t>
      </w:r>
      <w:r w:rsidRPr="00E23E1E">
        <w:rPr>
          <w:szCs w:val="24"/>
        </w:rPr>
        <w:t xml:space="preserve"> </w:t>
      </w:r>
      <w:r>
        <w:rPr>
          <w:szCs w:val="24"/>
        </w:rPr>
        <w:t xml:space="preserve">The </w:t>
      </w:r>
      <w:r w:rsidRPr="00E23E1E">
        <w:rPr>
          <w:szCs w:val="24"/>
        </w:rPr>
        <w:t xml:space="preserve">latter hardly differs from that in complex with the ligand (RMSD </w:t>
      </w:r>
      <w:r>
        <w:rPr>
          <w:szCs w:val="24"/>
        </w:rPr>
        <w:t>between the two</w:t>
      </w:r>
      <w:r w:rsidRPr="00E23E1E">
        <w:rPr>
          <w:szCs w:val="24"/>
        </w:rPr>
        <w:t xml:space="preserve"> backbones 0.14 Å, that of the ligand binding region </w:t>
      </w:r>
      <w:r>
        <w:rPr>
          <w:szCs w:val="24"/>
        </w:rPr>
        <w:t>in</w:t>
      </w:r>
      <w:r w:rsidRPr="00E23E1E">
        <w:rPr>
          <w:szCs w:val="24"/>
        </w:rPr>
        <w:t xml:space="preserve"> the X-ray structure equal to 0.11 Å</w:t>
      </w:r>
      <w:r>
        <w:rPr>
          <w:szCs w:val="24"/>
        </w:rPr>
        <w:t>,</w:t>
      </w:r>
      <w:r w:rsidRPr="0098793C">
        <w:rPr>
          <w:szCs w:val="24"/>
        </w:rPr>
        <w:t xml:space="preserve"> </w:t>
      </w:r>
      <w:r w:rsidRPr="00E23E1E">
        <w:rPr>
          <w:szCs w:val="24"/>
        </w:rPr>
        <w:t>see Chart II in</w:t>
      </w:r>
      <w:r w:rsidRPr="00E23E1E">
        <w:rPr>
          <w:b/>
          <w:bCs/>
          <w:szCs w:val="24"/>
        </w:rPr>
        <w:t xml:space="preserve"> </w:t>
      </w:r>
      <w:r w:rsidRPr="00E23E1E">
        <w:rPr>
          <w:szCs w:val="24"/>
        </w:rPr>
        <w:t xml:space="preserve">SI). First, we performed restrained energy minimization on </w:t>
      </w:r>
      <w:proofErr w:type="spellStart"/>
      <w:r w:rsidRPr="00E23E1E">
        <w:rPr>
          <w:szCs w:val="24"/>
        </w:rPr>
        <w:t>mNT</w:t>
      </w:r>
      <w:proofErr w:type="spellEnd"/>
      <w:r w:rsidRPr="00E23E1E">
        <w:rPr>
          <w:szCs w:val="24"/>
        </w:rPr>
        <w:t xml:space="preserve"> using the OPLS 2005 force field</w:t>
      </w:r>
      <w:r w:rsidRPr="00D04419">
        <w:rPr>
          <w:noProof/>
          <w:szCs w:val="24"/>
          <w:vertAlign w:val="superscript"/>
        </w:rPr>
        <w:t>20, 21</w:t>
      </w:r>
      <w:r w:rsidRPr="00E23E1E">
        <w:rPr>
          <w:szCs w:val="24"/>
        </w:rPr>
        <w:t>.</w:t>
      </w:r>
      <w:r>
        <w:rPr>
          <w:szCs w:val="24"/>
        </w:rPr>
        <w:t xml:space="preserve"> </w:t>
      </w:r>
      <w:r w:rsidRPr="00E23E1E">
        <w:rPr>
          <w:szCs w:val="24"/>
        </w:rPr>
        <w:t>The</w:t>
      </w:r>
      <w:r>
        <w:rPr>
          <w:szCs w:val="24"/>
        </w:rPr>
        <w:t>n, the</w:t>
      </w:r>
      <w:r w:rsidRPr="00E23E1E">
        <w:rPr>
          <w:szCs w:val="24"/>
        </w:rPr>
        <w:t xml:space="preserve"> program Glide</w:t>
      </w:r>
      <w:r w:rsidRPr="00D04419">
        <w:rPr>
          <w:noProof/>
          <w:szCs w:val="24"/>
          <w:vertAlign w:val="superscript"/>
        </w:rPr>
        <w:t>22, 23</w:t>
      </w:r>
      <w:r w:rsidRPr="00E23E1E">
        <w:rPr>
          <w:szCs w:val="24"/>
        </w:rPr>
        <w:t xml:space="preserve"> was used</w:t>
      </w:r>
      <w:r>
        <w:rPr>
          <w:szCs w:val="24"/>
        </w:rPr>
        <w:t>, with</w:t>
      </w:r>
      <w:r w:rsidRPr="00E23E1E">
        <w:rPr>
          <w:szCs w:val="24"/>
        </w:rPr>
        <w:t xml:space="preserve"> one equivalent of ligand </w:t>
      </w:r>
      <w:r>
        <w:rPr>
          <w:szCs w:val="24"/>
        </w:rPr>
        <w:t>for</w:t>
      </w:r>
      <w:r w:rsidRPr="00E23E1E">
        <w:rPr>
          <w:szCs w:val="24"/>
        </w:rPr>
        <w:t xml:space="preserve"> an equivalent of protein, consistently with the binding essays performed in ref. </w:t>
      </w:r>
      <w:r w:rsidRPr="00D04419">
        <w:rPr>
          <w:noProof/>
          <w:szCs w:val="24"/>
        </w:rPr>
        <w:t>11</w:t>
      </w:r>
      <w:r w:rsidRPr="00E23E1E">
        <w:rPr>
          <w:rStyle w:val="ae"/>
        </w:rPr>
        <w:footnoteReference w:id="1"/>
      </w:r>
      <w:r w:rsidRPr="00E23E1E">
        <w:rPr>
          <w:szCs w:val="24"/>
        </w:rPr>
        <w:t xml:space="preserve">. The convergence criterion for RMS fluctuation of heavy atoms was set to less than 0.3 </w:t>
      </w:r>
      <w:r w:rsidRPr="00E23E1E">
        <w:rPr>
          <w:rFonts w:ascii="Times New Roman" w:hAnsi="Times New Roman"/>
          <w:szCs w:val="24"/>
        </w:rPr>
        <w:t>Å</w:t>
      </w:r>
      <w:r w:rsidRPr="00E23E1E">
        <w:rPr>
          <w:szCs w:val="24"/>
        </w:rPr>
        <w:t xml:space="preserve">. We docked the ligand pose in the proximity of the [2Fe–2S] cluster binding region. For complexes </w:t>
      </w:r>
      <w:r w:rsidRPr="00E23E1E">
        <w:rPr>
          <w:b/>
          <w:bCs/>
          <w:szCs w:val="24"/>
        </w:rPr>
        <w:t>I</w:t>
      </w:r>
      <w:r w:rsidRPr="00E23E1E">
        <w:rPr>
          <w:szCs w:val="24"/>
        </w:rPr>
        <w:t xml:space="preserve"> and </w:t>
      </w:r>
      <w:r w:rsidRPr="00E23E1E">
        <w:rPr>
          <w:b/>
          <w:szCs w:val="24"/>
        </w:rPr>
        <w:t>II</w:t>
      </w:r>
      <w:r w:rsidRPr="00E23E1E">
        <w:rPr>
          <w:szCs w:val="24"/>
        </w:rPr>
        <w:t xml:space="preserve"> (Table 1), we assigned the charge +3 to both metal ions. For the other two redox states, we set the charges to +3 to the iron buried inside the protein and +2 to the His ligated iron. As the docking program does not consider His residues in their deprotonated states, we kept the same protonation of His87 across </w:t>
      </w:r>
      <w:r w:rsidRPr="00E23E1E">
        <w:rPr>
          <w:b/>
          <w:szCs w:val="24"/>
        </w:rPr>
        <w:t>I</w:t>
      </w:r>
      <w:r w:rsidRPr="00850231">
        <w:rPr>
          <w:rFonts w:ascii="Times New Roman" w:hAnsi="Times New Roman"/>
          <w:bCs/>
          <w:szCs w:val="24"/>
        </w:rPr>
        <w:t>–</w:t>
      </w:r>
      <w:r w:rsidRPr="00E23E1E">
        <w:rPr>
          <w:b/>
          <w:szCs w:val="24"/>
        </w:rPr>
        <w:t>IV</w:t>
      </w:r>
      <w:r w:rsidRPr="00E23E1E">
        <w:rPr>
          <w:szCs w:val="24"/>
        </w:rPr>
        <w:t>. We used a cubic grid of 20 Å edges, with a spacing of 1</w:t>
      </w:r>
      <w:r>
        <w:rPr>
          <w:szCs w:val="24"/>
        </w:rPr>
        <w:t>.0</w:t>
      </w:r>
      <w:r w:rsidRPr="00E23E1E">
        <w:rPr>
          <w:szCs w:val="24"/>
        </w:rPr>
        <w:t xml:space="preserve"> Å. We set the remaining docking parameters to the default values (See Table S1 in SI). The docking score function is </w:t>
      </w:r>
      <w:proofErr w:type="spellStart"/>
      <w:r w:rsidRPr="00E23E1E">
        <w:rPr>
          <w:szCs w:val="24"/>
        </w:rPr>
        <w:t>GlideScore</w:t>
      </w:r>
      <w:proofErr w:type="spellEnd"/>
      <w:r w:rsidRPr="00E23E1E">
        <w:rPr>
          <w:szCs w:val="24"/>
        </w:rPr>
        <w:t xml:space="preserve"> function</w:t>
      </w:r>
      <w:r w:rsidRPr="00D04419">
        <w:rPr>
          <w:noProof/>
          <w:szCs w:val="24"/>
          <w:vertAlign w:val="superscript"/>
        </w:rPr>
        <w:t>22</w:t>
      </w:r>
      <w:r w:rsidRPr="00E23E1E">
        <w:rPr>
          <w:szCs w:val="24"/>
        </w:rPr>
        <w:t>. The top ranked structure was selected for MD calculations.</w:t>
      </w:r>
    </w:p>
    <w:p w14:paraId="560317B2" w14:textId="77777777" w:rsidR="00FF380F" w:rsidRPr="004F7A6A" w:rsidRDefault="00FF380F" w:rsidP="00FB769B">
      <w:pPr>
        <w:pStyle w:val="TAMainText"/>
        <w:ind w:firstLine="0"/>
        <w:rPr>
          <w:szCs w:val="24"/>
        </w:rPr>
      </w:pPr>
      <w:r w:rsidRPr="004F7A6A">
        <w:rPr>
          <w:b/>
          <w:bCs/>
          <w:szCs w:val="24"/>
          <w:lang w:eastAsia="zh-CN"/>
        </w:rPr>
        <w:t>2.3</w:t>
      </w:r>
      <w:r w:rsidRPr="004F7A6A">
        <w:rPr>
          <w:b/>
          <w:bCs/>
          <w:szCs w:val="24"/>
          <w:lang w:eastAsia="zh-CN"/>
        </w:rPr>
        <w:tab/>
      </w:r>
      <w:r w:rsidRPr="004F7A6A">
        <w:rPr>
          <w:rFonts w:hint="eastAsia"/>
          <w:b/>
          <w:bCs/>
          <w:szCs w:val="24"/>
          <w:lang w:eastAsia="zh-CN"/>
        </w:rPr>
        <w:t>M</w:t>
      </w:r>
      <w:r w:rsidRPr="004F7A6A">
        <w:rPr>
          <w:b/>
          <w:bCs/>
          <w:szCs w:val="24"/>
          <w:lang w:eastAsia="zh-CN"/>
        </w:rPr>
        <w:t xml:space="preserve">D simulation. </w:t>
      </w:r>
      <w:r w:rsidRPr="004F7A6A">
        <w:rPr>
          <w:szCs w:val="24"/>
          <w:lang w:eastAsia="zh-CN"/>
        </w:rPr>
        <w:t xml:space="preserve">The </w:t>
      </w:r>
      <w:r w:rsidRPr="004F7A6A">
        <w:rPr>
          <w:b/>
          <w:szCs w:val="24"/>
        </w:rPr>
        <w:t>I</w:t>
      </w:r>
      <w:r w:rsidRPr="00B57A47">
        <w:rPr>
          <w:rFonts w:ascii="Times New Roman" w:hAnsi="Times New Roman"/>
          <w:bCs/>
          <w:szCs w:val="24"/>
        </w:rPr>
        <w:t>–</w:t>
      </w:r>
      <w:r w:rsidRPr="004F7A6A">
        <w:rPr>
          <w:b/>
          <w:szCs w:val="24"/>
        </w:rPr>
        <w:t>IV</w:t>
      </w:r>
      <w:r w:rsidRPr="004F7A6A">
        <w:rPr>
          <w:szCs w:val="24"/>
        </w:rPr>
        <w:t xml:space="preserve"> complexes were embedded in a dodecahedron filled with water, with a minimum distance of 30 Å from the protein to the box edge</w:t>
      </w:r>
      <w:r w:rsidRPr="004F7A6A">
        <w:rPr>
          <w:rFonts w:eastAsia="等线 Light"/>
          <w:szCs w:val="24"/>
        </w:rPr>
        <w:t>.</w:t>
      </w:r>
      <w:r w:rsidRPr="004F7A6A">
        <w:rPr>
          <w:szCs w:val="24"/>
        </w:rPr>
        <w:t xml:space="preserve"> </w:t>
      </w:r>
      <w:r w:rsidRPr="004F7A6A">
        <w:rPr>
          <w:rFonts w:eastAsia="等线 Light"/>
          <w:szCs w:val="24"/>
        </w:rPr>
        <w:t>Na</w:t>
      </w:r>
      <w:r w:rsidRPr="004F7A6A">
        <w:rPr>
          <w:rFonts w:eastAsia="等线 Light"/>
          <w:szCs w:val="24"/>
          <w:vertAlign w:val="superscript"/>
        </w:rPr>
        <w:t>+</w:t>
      </w:r>
      <w:r w:rsidRPr="004F7A6A">
        <w:rPr>
          <w:rFonts w:eastAsia="等线 Light"/>
          <w:szCs w:val="24"/>
        </w:rPr>
        <w:t xml:space="preserve"> and Cl</w:t>
      </w:r>
      <w:r w:rsidRPr="004F7A6A">
        <w:rPr>
          <w:rFonts w:eastAsia="等线 Light"/>
          <w:szCs w:val="24"/>
          <w:vertAlign w:val="superscript"/>
        </w:rPr>
        <w:t>−</w:t>
      </w:r>
      <w:r w:rsidRPr="004F7A6A">
        <w:rPr>
          <w:rFonts w:eastAsia="等线 Light"/>
          <w:szCs w:val="24"/>
        </w:rPr>
        <w:t xml:space="preserve"> ions were added to neutralize the system and to mimic the ionic </w:t>
      </w:r>
      <w:r w:rsidRPr="004F7A6A">
        <w:rPr>
          <w:szCs w:val="24"/>
        </w:rPr>
        <w:t xml:space="preserve">strength of </w:t>
      </w:r>
      <w:r w:rsidRPr="004F7A6A">
        <w:rPr>
          <w:rFonts w:ascii="Cambria Math" w:hAnsi="Cambria Math" w:cs="Cambria Math"/>
          <w:szCs w:val="24"/>
        </w:rPr>
        <w:t>∼</w:t>
      </w:r>
      <w:r w:rsidRPr="004F7A6A">
        <w:rPr>
          <w:szCs w:val="24"/>
        </w:rPr>
        <w:t xml:space="preserve">0.1 mM </w:t>
      </w:r>
      <w:r w:rsidRPr="004F7A6A">
        <w:rPr>
          <w:szCs w:val="24"/>
        </w:rPr>
        <w:lastRenderedPageBreak/>
        <w:t xml:space="preserve">used in the </w:t>
      </w:r>
      <w:r w:rsidRPr="004F7A6A">
        <w:rPr>
          <w:i/>
          <w:iCs/>
          <w:szCs w:val="24"/>
        </w:rPr>
        <w:t>in vitro</w:t>
      </w:r>
      <w:r w:rsidRPr="004F7A6A">
        <w:rPr>
          <w:szCs w:val="24"/>
        </w:rPr>
        <w:t xml:space="preserve"> experiments of ligand binding and crystallization</w:t>
      </w:r>
      <w:r w:rsidRPr="004F7A6A">
        <w:rPr>
          <w:noProof/>
          <w:szCs w:val="24"/>
          <w:vertAlign w:val="superscript"/>
        </w:rPr>
        <w:t>11</w:t>
      </w:r>
      <w:r w:rsidRPr="004F7A6A">
        <w:rPr>
          <w:szCs w:val="24"/>
        </w:rPr>
        <w:t xml:space="preserve">. The overall systems were set to neutral (Table </w:t>
      </w:r>
      <w:r>
        <w:rPr>
          <w:szCs w:val="24"/>
        </w:rPr>
        <w:t>1</w:t>
      </w:r>
      <w:r w:rsidRPr="004F7A6A">
        <w:rPr>
          <w:szCs w:val="24"/>
        </w:rPr>
        <w:t>). Periodic boundary conditions were applied.</w:t>
      </w:r>
    </w:p>
    <w:p w14:paraId="4FB0EAA5" w14:textId="77777777" w:rsidR="00FF380F" w:rsidRPr="004F7A6A" w:rsidRDefault="00FF380F" w:rsidP="00FB769B">
      <w:pPr>
        <w:pStyle w:val="TAMainText"/>
        <w:rPr>
          <w:szCs w:val="24"/>
        </w:rPr>
      </w:pPr>
      <w:r w:rsidRPr="004F7A6A">
        <w:rPr>
          <w:szCs w:val="24"/>
        </w:rPr>
        <w:t xml:space="preserve">The force fields for the </w:t>
      </w:r>
      <w:proofErr w:type="spellStart"/>
      <w:r w:rsidRPr="004F7A6A">
        <w:rPr>
          <w:szCs w:val="24"/>
        </w:rPr>
        <w:t>mNT</w:t>
      </w:r>
      <w:proofErr w:type="spellEnd"/>
      <w:r w:rsidRPr="004F7A6A">
        <w:rPr>
          <w:szCs w:val="24"/>
        </w:rPr>
        <w:t xml:space="preserve"> protein, water, and counterions were those used in refs. </w:t>
      </w:r>
      <w:r w:rsidRPr="00920F58">
        <w:rPr>
          <w:noProof/>
          <w:szCs w:val="24"/>
        </w:rPr>
        <w:t>7, 24</w:t>
      </w:r>
      <w:r w:rsidRPr="004F7A6A">
        <w:rPr>
          <w:szCs w:val="24"/>
        </w:rPr>
        <w:t xml:space="preserve">, </w:t>
      </w:r>
      <w:r w:rsidRPr="004F7A6A">
        <w:rPr>
          <w:i/>
          <w:iCs/>
          <w:szCs w:val="24"/>
        </w:rPr>
        <w:t>i.e.</w:t>
      </w:r>
      <w:r w:rsidRPr="004F7A6A">
        <w:rPr>
          <w:szCs w:val="24"/>
        </w:rPr>
        <w:t>, the AMBER force-field 99SB-ILDN</w:t>
      </w:r>
      <w:r w:rsidRPr="004F7A6A">
        <w:rPr>
          <w:noProof/>
          <w:szCs w:val="24"/>
          <w:vertAlign w:val="superscript"/>
        </w:rPr>
        <w:t>25, 26</w:t>
      </w:r>
      <w:r w:rsidRPr="004F7A6A">
        <w:rPr>
          <w:szCs w:val="24"/>
        </w:rPr>
        <w:t>, TIP3P</w:t>
      </w:r>
      <w:r w:rsidRPr="004F7A6A">
        <w:rPr>
          <w:noProof/>
          <w:szCs w:val="24"/>
          <w:vertAlign w:val="superscript"/>
        </w:rPr>
        <w:t>27</w:t>
      </w:r>
      <w:r w:rsidRPr="004F7A6A">
        <w:rPr>
          <w:szCs w:val="24"/>
        </w:rPr>
        <w:t xml:space="preserve">, and </w:t>
      </w:r>
      <w:proofErr w:type="spellStart"/>
      <w:r w:rsidRPr="004F7A6A">
        <w:rPr>
          <w:szCs w:val="24"/>
        </w:rPr>
        <w:t>Åqvist</w:t>
      </w:r>
      <w:proofErr w:type="spellEnd"/>
      <w:r w:rsidRPr="004F7A6A">
        <w:rPr>
          <w:szCs w:val="24"/>
        </w:rPr>
        <w:t xml:space="preserve"> potentials</w:t>
      </w:r>
      <w:r w:rsidRPr="004F7A6A">
        <w:rPr>
          <w:noProof/>
          <w:szCs w:val="24"/>
          <w:vertAlign w:val="superscript"/>
        </w:rPr>
        <w:t>28</w:t>
      </w:r>
      <w:r w:rsidRPr="004F7A6A">
        <w:rPr>
          <w:szCs w:val="24"/>
        </w:rPr>
        <w:t xml:space="preserve">, respectively. The force field of </w:t>
      </w:r>
      <w:r w:rsidRPr="004F7A6A">
        <w:rPr>
          <w:b/>
          <w:bCs/>
          <w:szCs w:val="24"/>
        </w:rPr>
        <w:t xml:space="preserve">A </w:t>
      </w:r>
      <w:r w:rsidRPr="004F7A6A">
        <w:rPr>
          <w:szCs w:val="24"/>
        </w:rPr>
        <w:t>was the GAFF</w:t>
      </w:r>
      <w:r w:rsidRPr="004F7A6A">
        <w:rPr>
          <w:noProof/>
          <w:szCs w:val="24"/>
          <w:vertAlign w:val="superscript"/>
        </w:rPr>
        <w:t>29</w:t>
      </w:r>
      <w:r w:rsidRPr="004F7A6A">
        <w:rPr>
          <w:szCs w:val="24"/>
        </w:rPr>
        <w:t xml:space="preserve"> with semiempirical AM1-BCC partial charges</w:t>
      </w:r>
      <w:r w:rsidRPr="004F7A6A">
        <w:rPr>
          <w:noProof/>
          <w:szCs w:val="24"/>
          <w:vertAlign w:val="superscript"/>
        </w:rPr>
        <w:t>30</w:t>
      </w:r>
      <w:r w:rsidRPr="004F7A6A">
        <w:rPr>
          <w:szCs w:val="24"/>
        </w:rPr>
        <w:t xml:space="preserve"> (see Table S2 and S3 in SI). </w:t>
      </w:r>
    </w:p>
    <w:p w14:paraId="512693C2" w14:textId="77777777" w:rsidR="00FF380F" w:rsidRPr="004F7A6A" w:rsidRDefault="00FF380F" w:rsidP="00FB769B">
      <w:pPr>
        <w:pStyle w:val="TAMainText"/>
        <w:rPr>
          <w:szCs w:val="24"/>
        </w:rPr>
      </w:pPr>
      <w:r w:rsidRPr="004F7A6A">
        <w:rPr>
          <w:szCs w:val="24"/>
        </w:rPr>
        <w:t xml:space="preserve">Long range electrostatic interactions were calculated using </w:t>
      </w:r>
      <w:r>
        <w:rPr>
          <w:szCs w:val="24"/>
        </w:rPr>
        <w:t>p</w:t>
      </w:r>
      <w:r w:rsidRPr="004F7A6A">
        <w:rPr>
          <w:szCs w:val="24"/>
        </w:rPr>
        <w:t xml:space="preserve">article mesh Ewald (PME) </w:t>
      </w:r>
      <w:r w:rsidRPr="004F7A6A">
        <w:rPr>
          <w:noProof/>
          <w:szCs w:val="24"/>
          <w:vertAlign w:val="superscript"/>
        </w:rPr>
        <w:t>31</w:t>
      </w:r>
      <w:r w:rsidRPr="004F7A6A">
        <w:rPr>
          <w:szCs w:val="24"/>
        </w:rPr>
        <w:t>. The cutoff for short range electrostatics and for van der Waals interactions was set to 14 Å. We constrained all</w:t>
      </w:r>
      <w:r>
        <w:rPr>
          <w:szCs w:val="24"/>
        </w:rPr>
        <w:t xml:space="preserve"> </w:t>
      </w:r>
      <w:r w:rsidRPr="004F7A6A">
        <w:rPr>
          <w:szCs w:val="24"/>
        </w:rPr>
        <w:t>the chemical bonds by using LINCS algorithm</w:t>
      </w:r>
      <w:r w:rsidRPr="004F7A6A">
        <w:rPr>
          <w:noProof/>
          <w:szCs w:val="24"/>
          <w:vertAlign w:val="superscript"/>
        </w:rPr>
        <w:t>32</w:t>
      </w:r>
      <w:r w:rsidRPr="004F7A6A">
        <w:rPr>
          <w:szCs w:val="24"/>
        </w:rPr>
        <w:t xml:space="preserve">. The </w:t>
      </w:r>
      <w:proofErr w:type="spellStart"/>
      <w:r w:rsidRPr="004F7A6A">
        <w:rPr>
          <w:szCs w:val="24"/>
        </w:rPr>
        <w:t>Nosé</w:t>
      </w:r>
      <w:proofErr w:type="spellEnd"/>
      <w:r w:rsidRPr="004F7A6A">
        <w:rPr>
          <w:szCs w:val="24"/>
        </w:rPr>
        <w:t xml:space="preserve">-Hoover </w:t>
      </w:r>
      <w:r w:rsidRPr="004F7A6A">
        <w:rPr>
          <w:rFonts w:eastAsia="等线 Light"/>
          <w:szCs w:val="24"/>
        </w:rPr>
        <w:t>thermostat</w:t>
      </w:r>
      <w:r w:rsidRPr="004F7A6A">
        <w:rPr>
          <w:rFonts w:eastAsia="等线 Light"/>
          <w:noProof/>
          <w:szCs w:val="24"/>
          <w:vertAlign w:val="superscript"/>
        </w:rPr>
        <w:t>33, 34</w:t>
      </w:r>
      <w:r w:rsidRPr="004F7A6A">
        <w:rPr>
          <w:rFonts w:eastAsia="等线 Light"/>
          <w:szCs w:val="24"/>
        </w:rPr>
        <w:t xml:space="preserve"> and </w:t>
      </w:r>
      <w:proofErr w:type="spellStart"/>
      <w:r w:rsidRPr="004F7A6A">
        <w:rPr>
          <w:rFonts w:eastAsia="等线 Light"/>
          <w:szCs w:val="24"/>
        </w:rPr>
        <w:t>Parrinello</w:t>
      </w:r>
      <w:proofErr w:type="spellEnd"/>
      <w:r w:rsidRPr="004F7A6A">
        <w:rPr>
          <w:rFonts w:eastAsia="等线 Light"/>
          <w:szCs w:val="24"/>
        </w:rPr>
        <w:t>-Rahman barostat</w:t>
      </w:r>
      <w:r w:rsidRPr="004F7A6A">
        <w:rPr>
          <w:rFonts w:eastAsia="等线 Light"/>
          <w:noProof/>
          <w:szCs w:val="24"/>
          <w:vertAlign w:val="superscript"/>
        </w:rPr>
        <w:t>35</w:t>
      </w:r>
      <w:r w:rsidRPr="004F7A6A">
        <w:rPr>
          <w:rFonts w:eastAsia="等线 Light"/>
          <w:szCs w:val="24"/>
        </w:rPr>
        <w:t xml:space="preserve"> were used to keep constant </w:t>
      </w:r>
      <w:r w:rsidRPr="004F7A6A">
        <w:rPr>
          <w:szCs w:val="24"/>
        </w:rPr>
        <w:t xml:space="preserve">temperature (293 K or 310 K) and pressure (1.0 bar), respectively. The time constant for temperature and pressure coupling were 0.4 and 0.8 </w:t>
      </w:r>
      <w:proofErr w:type="spellStart"/>
      <w:r w:rsidRPr="004F7A6A">
        <w:rPr>
          <w:szCs w:val="24"/>
        </w:rPr>
        <w:t>ps</w:t>
      </w:r>
      <w:proofErr w:type="spellEnd"/>
      <w:r w:rsidRPr="004F7A6A">
        <w:rPr>
          <w:szCs w:val="24"/>
        </w:rPr>
        <w:t>, respectively. The time integration step was set to 2 fs.</w:t>
      </w:r>
    </w:p>
    <w:p w14:paraId="4FFF4ED2" w14:textId="77777777" w:rsidR="00FF380F" w:rsidRPr="004F7A6A" w:rsidRDefault="00FF380F" w:rsidP="00A04545">
      <w:pPr>
        <w:pStyle w:val="TAMainText"/>
        <w:rPr>
          <w:szCs w:val="24"/>
        </w:rPr>
      </w:pPr>
      <w:r w:rsidRPr="004F7A6A">
        <w:rPr>
          <w:szCs w:val="24"/>
        </w:rPr>
        <w:t>All the systems were energy-minimized by 50,000-step steepest descent and 50,000-step conjugate gradient algorithms. Then, they underwent heating by 300 K in 1-ns simulated annealing, followed by 50-ns NVT MD and 50-ns NPT MD equilibration phases. Finally, 500-ns production trajectories were collected at 310 K and</w:t>
      </w:r>
      <w:r w:rsidRPr="004F7A6A">
        <w:rPr>
          <w:b/>
          <w:szCs w:val="24"/>
        </w:rPr>
        <w:t xml:space="preserve"> </w:t>
      </w:r>
      <w:r w:rsidRPr="004F7A6A">
        <w:rPr>
          <w:bCs/>
          <w:szCs w:val="24"/>
        </w:rPr>
        <w:t>1</w:t>
      </w:r>
      <w:r w:rsidRPr="004F7A6A">
        <w:rPr>
          <w:b/>
          <w:szCs w:val="24"/>
        </w:rPr>
        <w:t xml:space="preserve"> </w:t>
      </w:r>
      <w:r w:rsidRPr="004F7A6A">
        <w:rPr>
          <w:szCs w:val="24"/>
        </w:rPr>
        <w:t xml:space="preserve">bar for </w:t>
      </w:r>
      <w:proofErr w:type="spellStart"/>
      <w:r w:rsidRPr="004F7A6A">
        <w:rPr>
          <w:szCs w:val="24"/>
        </w:rPr>
        <w:t>mNT</w:t>
      </w:r>
      <w:proofErr w:type="spellEnd"/>
      <w:r w:rsidRPr="004F7A6A">
        <w:rPr>
          <w:szCs w:val="24"/>
        </w:rPr>
        <w:t xml:space="preserve"> (</w:t>
      </w:r>
      <w:r w:rsidRPr="004F7A6A">
        <w:rPr>
          <w:b/>
          <w:bCs/>
          <w:szCs w:val="24"/>
        </w:rPr>
        <w:t>I</w:t>
      </w:r>
      <w:r w:rsidRPr="007B2466">
        <w:rPr>
          <w:rFonts w:ascii="Times New Roman" w:hAnsi="Times New Roman"/>
          <w:bCs/>
          <w:szCs w:val="24"/>
        </w:rPr>
        <w:t>–</w:t>
      </w:r>
      <w:r w:rsidRPr="004F7A6A">
        <w:rPr>
          <w:b/>
          <w:bCs/>
          <w:szCs w:val="24"/>
        </w:rPr>
        <w:t>IV</w:t>
      </w:r>
      <w:r w:rsidRPr="004F7A6A">
        <w:rPr>
          <w:szCs w:val="24"/>
        </w:rPr>
        <w:t xml:space="preserve">) and one trajectory of </w:t>
      </w:r>
      <w:proofErr w:type="spellStart"/>
      <w:r w:rsidRPr="004F7A6A">
        <w:rPr>
          <w:szCs w:val="24"/>
        </w:rPr>
        <w:t>mNT</w:t>
      </w:r>
      <w:proofErr w:type="spellEnd"/>
      <w:r w:rsidRPr="004F7A6A">
        <w:rPr>
          <w:szCs w:val="24"/>
        </w:rPr>
        <w:t xml:space="preserve"> (</w:t>
      </w:r>
      <w:r w:rsidRPr="004F7A6A">
        <w:rPr>
          <w:b/>
          <w:bCs/>
          <w:szCs w:val="24"/>
        </w:rPr>
        <w:t>I</w:t>
      </w:r>
      <w:r w:rsidRPr="004F7A6A">
        <w:rPr>
          <w:szCs w:val="24"/>
        </w:rPr>
        <w:t>) at 293 K. All the calculations were carried out with GROMACS 2019.2</w:t>
      </w:r>
      <w:r w:rsidRPr="004F7A6A">
        <w:rPr>
          <w:noProof/>
          <w:szCs w:val="24"/>
          <w:vertAlign w:val="superscript"/>
        </w:rPr>
        <w:t>36, 37</w:t>
      </w:r>
      <w:r w:rsidRPr="004F7A6A">
        <w:rPr>
          <w:szCs w:val="24"/>
        </w:rPr>
        <w:t>. The last snapshot of the 500 ns-long MD simulations of the complexes in Table 1 was used as starting structures.</w:t>
      </w:r>
    </w:p>
    <w:p w14:paraId="107FA3DC" w14:textId="77777777" w:rsidR="00FF380F" w:rsidRPr="00A2520B" w:rsidRDefault="00FF380F" w:rsidP="00FB769B">
      <w:pPr>
        <w:pStyle w:val="TAMainText"/>
        <w:ind w:firstLine="0"/>
        <w:rPr>
          <w:szCs w:val="24"/>
        </w:rPr>
      </w:pPr>
      <w:r w:rsidRPr="00A2520B">
        <w:rPr>
          <w:b/>
          <w:bCs/>
          <w:szCs w:val="24"/>
          <w:lang w:eastAsia="zh-CN"/>
        </w:rPr>
        <w:t>2.4</w:t>
      </w:r>
      <w:r w:rsidRPr="00A2520B">
        <w:rPr>
          <w:b/>
          <w:bCs/>
          <w:szCs w:val="24"/>
          <w:lang w:eastAsia="zh-CN"/>
        </w:rPr>
        <w:tab/>
        <w:t xml:space="preserve">Volume-based </w:t>
      </w:r>
      <w:proofErr w:type="spellStart"/>
      <w:r w:rsidRPr="00A2520B">
        <w:rPr>
          <w:b/>
          <w:bCs/>
          <w:szCs w:val="24"/>
          <w:lang w:eastAsia="zh-CN"/>
        </w:rPr>
        <w:t>metadynamics</w:t>
      </w:r>
      <w:proofErr w:type="spellEnd"/>
      <w:r w:rsidRPr="00A2520B">
        <w:rPr>
          <w:b/>
          <w:bCs/>
          <w:szCs w:val="24"/>
          <w:lang w:eastAsia="zh-CN"/>
        </w:rPr>
        <w:t xml:space="preserve">. </w:t>
      </w:r>
      <w:r w:rsidRPr="00A2520B">
        <w:rPr>
          <w:szCs w:val="24"/>
        </w:rPr>
        <w:t xml:space="preserve">The free energy associated with </w:t>
      </w:r>
      <w:r w:rsidRPr="00A2520B">
        <w:rPr>
          <w:b/>
          <w:szCs w:val="24"/>
        </w:rPr>
        <w:t xml:space="preserve">A </w:t>
      </w:r>
      <w:r w:rsidRPr="00A2520B">
        <w:rPr>
          <w:szCs w:val="24"/>
        </w:rPr>
        <w:t xml:space="preserve">binding/unbinding process was calculated via the volume-based well-tempered </w:t>
      </w:r>
      <w:proofErr w:type="spellStart"/>
      <w:r w:rsidRPr="00A2520B">
        <w:rPr>
          <w:szCs w:val="24"/>
        </w:rPr>
        <w:t>metadynamics</w:t>
      </w:r>
      <w:proofErr w:type="spellEnd"/>
      <w:r w:rsidRPr="00A2520B">
        <w:rPr>
          <w:szCs w:val="24"/>
        </w:rPr>
        <w:t xml:space="preserve"> method</w:t>
      </w:r>
      <w:r w:rsidRPr="00A2520B">
        <w:rPr>
          <w:noProof/>
          <w:szCs w:val="24"/>
          <w:vertAlign w:val="superscript"/>
        </w:rPr>
        <w:t>15</w:t>
      </w:r>
      <w:r w:rsidRPr="00A2520B">
        <w:rPr>
          <w:szCs w:val="24"/>
        </w:rPr>
        <w:t xml:space="preserve">. The approach can be seen as a multi-pathway extension of funnel </w:t>
      </w:r>
      <w:r w:rsidRPr="00A2520B">
        <w:rPr>
          <w:szCs w:val="24"/>
        </w:rPr>
        <w:lastRenderedPageBreak/>
        <w:t>well-tempered metadynamics</w:t>
      </w:r>
      <w:r w:rsidRPr="00A2520B">
        <w:rPr>
          <w:noProof/>
          <w:szCs w:val="24"/>
          <w:vertAlign w:val="superscript"/>
        </w:rPr>
        <w:t>38</w:t>
      </w:r>
      <w:r w:rsidRPr="00A2520B">
        <w:rPr>
          <w:szCs w:val="24"/>
        </w:rPr>
        <w:t>, where a funnel</w:t>
      </w:r>
      <w:r>
        <w:rPr>
          <w:szCs w:val="24"/>
        </w:rPr>
        <w:t>-</w:t>
      </w:r>
      <w:r w:rsidRPr="00A2520B">
        <w:rPr>
          <w:szCs w:val="24"/>
        </w:rPr>
        <w:t>shaped potential limits the volume accessible to the ligand in the solvated space, considering a single egress pathway for the ligand. Here, the chosen collective variables (CVs) are represented by the spherical coordinates of a ligand in the reference frame of the host protein (</w:t>
      </w:r>
      <w:r w:rsidRPr="00A2520B">
        <w:rPr>
          <w:i/>
          <w:iCs/>
          <w:szCs w:val="24"/>
        </w:rPr>
        <w:t>i.e.,</w:t>
      </w:r>
      <w:r w:rsidRPr="00A2520B">
        <w:rPr>
          <w:szCs w:val="24"/>
        </w:rPr>
        <w:t xml:space="preserve"> radial distance </w:t>
      </w:r>
      <w:bookmarkStart w:id="4" w:name="_Hlk113572398"/>
      <w:r w:rsidRPr="00A2520B">
        <w:rPr>
          <w:i/>
          <w:iCs/>
          <w:szCs w:val="24"/>
        </w:rPr>
        <w:t>ρ</w:t>
      </w:r>
      <w:r w:rsidRPr="00A2520B">
        <w:rPr>
          <w:szCs w:val="24"/>
        </w:rPr>
        <w:t xml:space="preserve">, azimuthal angle </w:t>
      </w:r>
      <w:r w:rsidRPr="00A2520B">
        <w:rPr>
          <w:i/>
          <w:iCs/>
          <w:szCs w:val="24"/>
        </w:rPr>
        <w:t>θ</w:t>
      </w:r>
      <w:r w:rsidRPr="00A2520B">
        <w:rPr>
          <w:szCs w:val="24"/>
        </w:rPr>
        <w:t xml:space="preserve">, and polar angle </w:t>
      </w:r>
      <w:r w:rsidRPr="00A2520B">
        <w:rPr>
          <w:i/>
          <w:iCs/>
          <w:szCs w:val="24"/>
        </w:rPr>
        <w:t>φ</w:t>
      </w:r>
      <w:bookmarkEnd w:id="4"/>
      <w:r w:rsidRPr="00A2520B">
        <w:rPr>
          <w:szCs w:val="24"/>
        </w:rPr>
        <w:t xml:space="preserve">). To limit the sampling of the conformational space to the relevant configurations for the binding/unbinding process and to favor recrossing events, the accessible volume of the ligand is limited to a sphere of radius </w:t>
      </w:r>
      <m:oMath>
        <m:sSub>
          <m:sSubPr>
            <m:ctrlPr>
              <w:rPr>
                <w:rFonts w:ascii="Cambria Math" w:hAnsi="Cambria Math"/>
                <w:i/>
                <w:szCs w:val="24"/>
              </w:rPr>
            </m:ctrlPr>
          </m:sSubPr>
          <m:e>
            <m:r>
              <w:rPr>
                <w:rFonts w:ascii="Cambria Math" w:hAnsi="Cambria Math"/>
                <w:szCs w:val="24"/>
              </w:rPr>
              <m:t>ρ</m:t>
            </m:r>
          </m:e>
          <m:sub>
            <m:r>
              <w:rPr>
                <w:rFonts w:ascii="Cambria Math" w:hAnsi="Cambria Math"/>
                <w:szCs w:val="24"/>
              </w:rPr>
              <m:t>s</m:t>
            </m:r>
          </m:sub>
        </m:sSub>
      </m:oMath>
      <w:r w:rsidRPr="00A2520B">
        <w:rPr>
          <w:szCs w:val="24"/>
        </w:rPr>
        <w:t xml:space="preserve"> centered in center of mass of mNT. A repulsive potential </w:t>
      </w:r>
      <m:oMath>
        <m:r>
          <w:rPr>
            <w:rFonts w:ascii="Cambria Math" w:hAnsi="Cambria Math"/>
            <w:szCs w:val="24"/>
          </w:rPr>
          <m:t>U</m:t>
        </m:r>
        <m:d>
          <m:dPr>
            <m:begChr m:val="{"/>
            <m:endChr m:val="}"/>
            <m:ctrlPr>
              <w:rPr>
                <w:rFonts w:ascii="Cambria Math" w:hAnsi="Cambria Math"/>
                <w:i/>
                <w:szCs w:val="24"/>
              </w:rPr>
            </m:ctrlPr>
          </m:dPr>
          <m:e>
            <m:r>
              <w:rPr>
                <w:rFonts w:ascii="Cambria Math" w:hAnsi="Cambria Math"/>
                <w:szCs w:val="24"/>
              </w:rPr>
              <m:t>ρ</m:t>
            </m:r>
            <m:d>
              <m:dPr>
                <m:ctrlPr>
                  <w:rPr>
                    <w:rFonts w:ascii="Cambria Math" w:hAnsi="Cambria Math"/>
                    <w:i/>
                    <w:szCs w:val="24"/>
                  </w:rPr>
                </m:ctrlPr>
              </m:dPr>
              <m:e>
                <m:r>
                  <w:rPr>
                    <w:rFonts w:ascii="Cambria Math" w:hAnsi="Cambria Math"/>
                    <w:szCs w:val="24"/>
                  </w:rPr>
                  <m:t>t</m:t>
                </m:r>
              </m:e>
            </m:d>
          </m:e>
        </m:d>
      </m:oMath>
      <w:r w:rsidRPr="00A2520B">
        <w:rPr>
          <w:szCs w:val="24"/>
        </w:rPr>
        <w:t xml:space="preserve"> is then added at the border of the sphere:</w:t>
      </w:r>
    </w:p>
    <w:tbl>
      <w:tblPr>
        <w:tblW w:w="5000" w:type="pct"/>
        <w:tblLook w:val="04A0" w:firstRow="1" w:lastRow="0" w:firstColumn="1" w:lastColumn="0" w:noHBand="0" w:noVBand="1"/>
      </w:tblPr>
      <w:tblGrid>
        <w:gridCol w:w="1758"/>
        <w:gridCol w:w="5125"/>
        <w:gridCol w:w="1757"/>
      </w:tblGrid>
      <w:tr w:rsidR="00FF380F" w:rsidRPr="00A2520B" w14:paraId="2801E49C" w14:textId="77777777" w:rsidTr="0081430C">
        <w:tc>
          <w:tcPr>
            <w:tcW w:w="1017" w:type="pct"/>
            <w:shd w:val="clear" w:color="auto" w:fill="auto"/>
            <w:vAlign w:val="center"/>
          </w:tcPr>
          <w:p w14:paraId="0BBDF309" w14:textId="77777777" w:rsidR="00FF380F" w:rsidRPr="00A2520B" w:rsidRDefault="00FF380F" w:rsidP="00FB769B">
            <w:pPr>
              <w:pStyle w:val="TAMainText"/>
              <w:rPr>
                <w:szCs w:val="24"/>
              </w:rPr>
            </w:pPr>
          </w:p>
        </w:tc>
        <w:tc>
          <w:tcPr>
            <w:tcW w:w="2966" w:type="pct"/>
            <w:shd w:val="clear" w:color="auto" w:fill="auto"/>
          </w:tcPr>
          <w:p w14:paraId="11215805" w14:textId="77777777" w:rsidR="00FF380F" w:rsidRPr="00A2520B" w:rsidRDefault="00FF380F" w:rsidP="00FB769B">
            <w:pPr>
              <w:pStyle w:val="TAMainText"/>
              <w:rPr>
                <w:szCs w:val="24"/>
              </w:rPr>
            </w:pPr>
            <m:oMathPara>
              <m:oMath>
                <m:r>
                  <w:rPr>
                    <w:rFonts w:ascii="Cambria Math" w:hAnsi="Cambria Math"/>
                    <w:szCs w:val="24"/>
                  </w:rPr>
                  <m:t>U</m:t>
                </m:r>
                <m:d>
                  <m:dPr>
                    <m:begChr m:val="{"/>
                    <m:endChr m:val="}"/>
                    <m:ctrlPr>
                      <w:rPr>
                        <w:rFonts w:ascii="Cambria Math" w:hAnsi="Cambria Math"/>
                        <w:i/>
                        <w:szCs w:val="24"/>
                      </w:rPr>
                    </m:ctrlPr>
                  </m:dPr>
                  <m:e>
                    <m:r>
                      <w:rPr>
                        <w:rFonts w:ascii="Cambria Math" w:hAnsi="Cambria Math"/>
                        <w:szCs w:val="24"/>
                      </w:rPr>
                      <m:t>ρ</m:t>
                    </m:r>
                    <m:d>
                      <m:dPr>
                        <m:ctrlPr>
                          <w:rPr>
                            <w:rFonts w:ascii="Cambria Math" w:hAnsi="Cambria Math"/>
                            <w:i/>
                            <w:szCs w:val="24"/>
                          </w:rPr>
                        </m:ctrlPr>
                      </m:dPr>
                      <m:e>
                        <m:r>
                          <w:rPr>
                            <w:rFonts w:ascii="Cambria Math" w:hAnsi="Cambria Math"/>
                            <w:szCs w:val="24"/>
                          </w:rPr>
                          <m:t>t</m:t>
                        </m:r>
                      </m:e>
                    </m:d>
                  </m:e>
                </m:d>
                <m:r>
                  <w:rPr>
                    <w:rFonts w:ascii="Cambria Math" w:hAnsi="Cambria Math"/>
                    <w:szCs w:val="24"/>
                  </w:rPr>
                  <m:t>=</m:t>
                </m:r>
                <m:d>
                  <m:dPr>
                    <m:begChr m:val="{"/>
                    <m:endChr m:val=""/>
                    <m:ctrlPr>
                      <w:rPr>
                        <w:rFonts w:ascii="Cambria Math" w:hAnsi="Cambria Math"/>
                        <w:i/>
                        <w:szCs w:val="24"/>
                      </w:rPr>
                    </m:ctrlPr>
                  </m:dPr>
                  <m:e>
                    <m:eqArr>
                      <m:eqArrPr>
                        <m:ctrlPr>
                          <w:rPr>
                            <w:rFonts w:ascii="Cambria Math" w:hAnsi="Cambria Math"/>
                            <w:i/>
                            <w:szCs w:val="24"/>
                          </w:rPr>
                        </m:ctrlPr>
                      </m:eqArrPr>
                      <m:e>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k</m:t>
                        </m:r>
                        <m:d>
                          <m:dPr>
                            <m:begChr m:val="{"/>
                            <m:endChr m:val="}"/>
                            <m:ctrlPr>
                              <w:rPr>
                                <w:rFonts w:ascii="Cambria Math" w:hAnsi="Cambria Math"/>
                                <w:i/>
                                <w:szCs w:val="24"/>
                              </w:rPr>
                            </m:ctrlPr>
                          </m:dPr>
                          <m:e>
                            <m:r>
                              <w:rPr>
                                <w:rFonts w:ascii="Cambria Math" w:hAnsi="Cambria Math"/>
                                <w:szCs w:val="24"/>
                              </w:rPr>
                              <m:t>ρ</m:t>
                            </m:r>
                            <m:d>
                              <m:dPr>
                                <m:ctrlPr>
                                  <w:rPr>
                                    <w:rFonts w:ascii="Cambria Math" w:hAnsi="Cambria Math"/>
                                    <w:i/>
                                    <w:szCs w:val="24"/>
                                  </w:rPr>
                                </m:ctrlPr>
                              </m:dPr>
                              <m:e>
                                <m:r>
                                  <w:rPr>
                                    <w:rFonts w:ascii="Cambria Math" w:hAnsi="Cambria Math"/>
                                    <w:szCs w:val="24"/>
                                  </w:rPr>
                                  <m:t>t</m:t>
                                </m:r>
                              </m:e>
                            </m:d>
                            <m:r>
                              <w:rPr>
                                <w:rFonts w:ascii="Cambria Math" w:hAnsi="Cambria Math"/>
                                <w:szCs w:val="24"/>
                              </w:rPr>
                              <m:t>-</m:t>
                            </m:r>
                            <m:sSub>
                              <m:sSubPr>
                                <m:ctrlPr>
                                  <w:rPr>
                                    <w:rFonts w:ascii="Cambria Math" w:hAnsi="Cambria Math"/>
                                    <w:i/>
                                    <w:szCs w:val="24"/>
                                  </w:rPr>
                                </m:ctrlPr>
                              </m:sSubPr>
                              <m:e>
                                <m:r>
                                  <w:rPr>
                                    <w:rFonts w:ascii="Cambria Math" w:hAnsi="Cambria Math"/>
                                    <w:szCs w:val="24"/>
                                  </w:rPr>
                                  <m:t>ρ</m:t>
                                </m:r>
                              </m:e>
                              <m:sub>
                                <m:r>
                                  <w:rPr>
                                    <w:rFonts w:ascii="Cambria Math" w:hAnsi="Cambria Math"/>
                                    <w:szCs w:val="24"/>
                                  </w:rPr>
                                  <m:t>s</m:t>
                                </m:r>
                              </m:sub>
                            </m:sSub>
                          </m:e>
                        </m:d>
                        <m:r>
                          <w:rPr>
                            <w:rFonts w:ascii="Cambria Math" w:hAnsi="Cambria Math"/>
                            <w:szCs w:val="24"/>
                          </w:rPr>
                          <m:t xml:space="preserve"> , </m:t>
                        </m:r>
                        <m:r>
                          <m:rPr>
                            <m:sty m:val="p"/>
                          </m:rPr>
                          <w:rPr>
                            <w:rFonts w:ascii="Cambria Math" w:hAnsi="Cambria Math"/>
                            <w:szCs w:val="24"/>
                          </w:rPr>
                          <m:t>if</m:t>
                        </m:r>
                        <m:r>
                          <w:rPr>
                            <w:rFonts w:ascii="Cambria Math" w:hAnsi="Cambria Math"/>
                            <w:szCs w:val="24"/>
                          </w:rPr>
                          <m:t xml:space="preserve"> ρ</m:t>
                        </m:r>
                        <m:d>
                          <m:dPr>
                            <m:ctrlPr>
                              <w:rPr>
                                <w:rFonts w:ascii="Cambria Math" w:hAnsi="Cambria Math"/>
                                <w:i/>
                                <w:szCs w:val="24"/>
                              </w:rPr>
                            </m:ctrlPr>
                          </m:dPr>
                          <m:e>
                            <m:r>
                              <w:rPr>
                                <w:rFonts w:ascii="Cambria Math" w:hAnsi="Cambria Math"/>
                                <w:szCs w:val="24"/>
                              </w:rPr>
                              <m:t>t</m:t>
                            </m:r>
                          </m:e>
                        </m:d>
                        <m:r>
                          <w:rPr>
                            <w:rFonts w:ascii="Cambria Math" w:hAnsi="Cambria Math"/>
                            <w:szCs w:val="24"/>
                          </w:rPr>
                          <m:t>&gt;</m:t>
                        </m:r>
                        <m:sSub>
                          <m:sSubPr>
                            <m:ctrlPr>
                              <w:rPr>
                                <w:rFonts w:ascii="Cambria Math" w:hAnsi="Cambria Math"/>
                                <w:i/>
                                <w:szCs w:val="24"/>
                              </w:rPr>
                            </m:ctrlPr>
                          </m:sSubPr>
                          <m:e>
                            <m:r>
                              <w:rPr>
                                <w:rFonts w:ascii="Cambria Math" w:hAnsi="Cambria Math"/>
                                <w:szCs w:val="24"/>
                              </w:rPr>
                              <m:t>ρ</m:t>
                            </m:r>
                          </m:e>
                          <m:sub>
                            <m:r>
                              <w:rPr>
                                <w:rFonts w:ascii="Cambria Math" w:hAnsi="Cambria Math"/>
                                <w:szCs w:val="24"/>
                              </w:rPr>
                              <m:t>s</m:t>
                            </m:r>
                          </m:sub>
                        </m:sSub>
                      </m:e>
                      <m:e>
                        <m:r>
                          <w:rPr>
                            <w:rFonts w:ascii="Cambria Math" w:hAnsi="Cambria Math"/>
                            <w:szCs w:val="24"/>
                          </w:rPr>
                          <m:t xml:space="preserve">0,   </m:t>
                        </m:r>
                        <m:r>
                          <m:rPr>
                            <m:sty m:val="p"/>
                          </m:rPr>
                          <w:rPr>
                            <w:rFonts w:ascii="Cambria Math" w:hAnsi="Cambria Math"/>
                            <w:szCs w:val="24"/>
                          </w:rPr>
                          <m:t>else</m:t>
                        </m:r>
                      </m:e>
                    </m:eqArr>
                  </m:e>
                </m:d>
              </m:oMath>
            </m:oMathPara>
          </w:p>
        </w:tc>
        <w:tc>
          <w:tcPr>
            <w:tcW w:w="1017" w:type="pct"/>
            <w:shd w:val="clear" w:color="auto" w:fill="auto"/>
            <w:vAlign w:val="center"/>
          </w:tcPr>
          <w:p w14:paraId="473A70B0" w14:textId="77777777" w:rsidR="00FF380F" w:rsidRPr="00A2520B" w:rsidRDefault="00FF380F" w:rsidP="0081430C">
            <w:pPr>
              <w:pStyle w:val="TAMainText"/>
              <w:jc w:val="right"/>
              <w:rPr>
                <w:szCs w:val="24"/>
              </w:rPr>
            </w:pPr>
            <w:r w:rsidRPr="00A2520B">
              <w:rPr>
                <w:szCs w:val="24"/>
              </w:rPr>
              <w:t>(1)</w:t>
            </w:r>
          </w:p>
        </w:tc>
      </w:tr>
    </w:tbl>
    <w:p w14:paraId="6BABF1E3" w14:textId="77777777" w:rsidR="00FF380F" w:rsidRPr="00A2520B" w:rsidRDefault="00FF380F" w:rsidP="00264F21">
      <w:pPr>
        <w:pStyle w:val="TAMainText"/>
        <w:ind w:firstLine="0"/>
        <w:rPr>
          <w:szCs w:val="24"/>
        </w:rPr>
      </w:pPr>
      <w:r w:rsidRPr="00A2520B">
        <w:rPr>
          <w:szCs w:val="24"/>
        </w:rPr>
        <w:t xml:space="preserve">where </w:t>
      </w:r>
      <m:oMath>
        <m:r>
          <w:rPr>
            <w:rFonts w:ascii="Cambria Math" w:hAnsi="Cambria Math"/>
            <w:szCs w:val="24"/>
          </w:rPr>
          <m:t>k</m:t>
        </m:r>
      </m:oMath>
      <w:r w:rsidRPr="00A2520B">
        <w:rPr>
          <w:szCs w:val="24"/>
        </w:rPr>
        <w:t xml:space="preserve"> should be large enough to prevent the ligand from escaping the confining volume (in this work, it is 10,000 kJ·mol</w:t>
      </w:r>
      <w:r w:rsidRPr="00A2520B">
        <w:rPr>
          <w:szCs w:val="24"/>
          <w:vertAlign w:val="superscript"/>
        </w:rPr>
        <w:t>-1</w:t>
      </w:r>
      <w:r w:rsidRPr="00A2520B">
        <w:rPr>
          <w:szCs w:val="24"/>
        </w:rPr>
        <w:t>·nm</w:t>
      </w:r>
      <w:r w:rsidRPr="00A2520B">
        <w:rPr>
          <w:szCs w:val="24"/>
          <w:vertAlign w:val="superscript"/>
        </w:rPr>
        <w:t>-1</w:t>
      </w:r>
      <w:r w:rsidRPr="00A2520B">
        <w:rPr>
          <w:szCs w:val="24"/>
        </w:rPr>
        <w:t xml:space="preserve"> as in ref. </w:t>
      </w:r>
      <w:r w:rsidRPr="006670B2">
        <w:rPr>
          <w:noProof/>
          <w:szCs w:val="24"/>
        </w:rPr>
        <w:t>15</w:t>
      </w:r>
      <w:r w:rsidRPr="00A2520B">
        <w:rPr>
          <w:szCs w:val="24"/>
        </w:rPr>
        <w:t xml:space="preserve">), </w:t>
      </w:r>
      <m:oMath>
        <m:r>
          <w:rPr>
            <w:rFonts w:ascii="Cambria Math" w:hAnsi="Cambria Math"/>
            <w:szCs w:val="24"/>
          </w:rPr>
          <m:t>ρ</m:t>
        </m:r>
        <m:d>
          <m:dPr>
            <m:ctrlPr>
              <w:rPr>
                <w:rFonts w:ascii="Cambria Math" w:hAnsi="Cambria Math"/>
                <w:i/>
                <w:szCs w:val="24"/>
              </w:rPr>
            </m:ctrlPr>
          </m:dPr>
          <m:e>
            <m:r>
              <w:rPr>
                <w:rFonts w:ascii="Cambria Math" w:hAnsi="Cambria Math"/>
                <w:szCs w:val="24"/>
              </w:rPr>
              <m:t>t</m:t>
            </m:r>
          </m:e>
        </m:d>
      </m:oMath>
      <w:r w:rsidRPr="00A2520B">
        <w:rPr>
          <w:szCs w:val="24"/>
        </w:rPr>
        <w:t xml:space="preserve"> is the distance of the ligand from the center of mass of mNT at a given time </w:t>
      </w:r>
      <m:oMath>
        <m:r>
          <w:rPr>
            <w:rFonts w:ascii="Cambria Math" w:hAnsi="Cambria Math"/>
            <w:szCs w:val="24"/>
          </w:rPr>
          <m:t>t</m:t>
        </m:r>
      </m:oMath>
      <w:r w:rsidRPr="00A2520B">
        <w:rPr>
          <w:szCs w:val="24"/>
        </w:rPr>
        <w:t xml:space="preserve">. </w:t>
      </w:r>
      <m:oMath>
        <m:sSub>
          <m:sSubPr>
            <m:ctrlPr>
              <w:rPr>
                <w:rFonts w:ascii="Cambria Math" w:hAnsi="Cambria Math"/>
                <w:i/>
                <w:szCs w:val="24"/>
              </w:rPr>
            </m:ctrlPr>
          </m:sSubPr>
          <m:e>
            <m:r>
              <w:rPr>
                <w:rFonts w:ascii="Cambria Math" w:hAnsi="Cambria Math"/>
                <w:szCs w:val="24"/>
              </w:rPr>
              <m:t>ρ</m:t>
            </m:r>
          </m:e>
          <m:sub>
            <m:r>
              <w:rPr>
                <w:rFonts w:ascii="Cambria Math" w:hAnsi="Cambria Math"/>
                <w:szCs w:val="24"/>
              </w:rPr>
              <m:t>s</m:t>
            </m:r>
          </m:sub>
        </m:sSub>
        <m:r>
          <w:rPr>
            <w:rFonts w:ascii="Cambria Math" w:hAnsi="Cambria Math"/>
            <w:szCs w:val="24"/>
          </w:rPr>
          <m:t xml:space="preserve"> </m:t>
        </m:r>
      </m:oMath>
      <w:r w:rsidRPr="00A2520B">
        <w:rPr>
          <w:szCs w:val="24"/>
        </w:rPr>
        <w:t xml:space="preserve">was set to 30 Å. </w:t>
      </w:r>
    </w:p>
    <w:p w14:paraId="3E6B7AAA" w14:textId="77777777" w:rsidR="00FF380F" w:rsidRPr="00A2520B" w:rsidRDefault="00FF380F" w:rsidP="00FB769B">
      <w:pPr>
        <w:pStyle w:val="TAMainText"/>
        <w:rPr>
          <w:szCs w:val="24"/>
        </w:rPr>
      </w:pPr>
      <w:r w:rsidRPr="00A2520B">
        <w:rPr>
          <w:szCs w:val="24"/>
        </w:rPr>
        <w:t xml:space="preserve">The application of the restraining potential </w:t>
      </w:r>
      <m:oMath>
        <m:r>
          <w:rPr>
            <w:rFonts w:ascii="Cambria Math" w:hAnsi="Cambria Math"/>
            <w:szCs w:val="24"/>
          </w:rPr>
          <m:t>U</m:t>
        </m:r>
        <m:d>
          <m:dPr>
            <m:begChr m:val="{"/>
            <m:endChr m:val="}"/>
            <m:ctrlPr>
              <w:rPr>
                <w:rFonts w:ascii="Cambria Math" w:hAnsi="Cambria Math"/>
                <w:i/>
                <w:szCs w:val="24"/>
              </w:rPr>
            </m:ctrlPr>
          </m:dPr>
          <m:e>
            <m:r>
              <w:rPr>
                <w:rFonts w:ascii="Cambria Math" w:hAnsi="Cambria Math"/>
                <w:szCs w:val="24"/>
              </w:rPr>
              <m:t>ρ</m:t>
            </m:r>
            <m:d>
              <m:dPr>
                <m:ctrlPr>
                  <w:rPr>
                    <w:rFonts w:ascii="Cambria Math" w:hAnsi="Cambria Math"/>
                    <w:i/>
                    <w:szCs w:val="24"/>
                  </w:rPr>
                </m:ctrlPr>
              </m:dPr>
              <m:e>
                <m:r>
                  <w:rPr>
                    <w:rFonts w:ascii="Cambria Math" w:hAnsi="Cambria Math"/>
                    <w:szCs w:val="24"/>
                  </w:rPr>
                  <m:t>t</m:t>
                </m:r>
              </m:e>
            </m:d>
          </m:e>
        </m:d>
      </m:oMath>
      <w:r w:rsidRPr="00A2520B">
        <w:rPr>
          <w:szCs w:val="24"/>
        </w:rPr>
        <w:t xml:space="preserve"> causes a modification of the translational entropy of the system</w:t>
      </w:r>
      <w:r w:rsidRPr="00A2520B">
        <w:rPr>
          <w:noProof/>
          <w:szCs w:val="24"/>
          <w:vertAlign w:val="superscript"/>
        </w:rPr>
        <w:t>39, 40</w:t>
      </w:r>
      <w:r w:rsidRPr="00A2520B">
        <w:rPr>
          <w:szCs w:val="24"/>
        </w:rPr>
        <w:t xml:space="preserve">. To remove such contribution from the binding free energy </w:t>
      </w:r>
      <m:oMath>
        <m:r>
          <w:rPr>
            <w:rFonts w:ascii="Cambria Math" w:hAnsi="Cambria Math"/>
            <w:szCs w:val="24"/>
          </w:rPr>
          <m:t>∆</m:t>
        </m:r>
        <m:sSubSup>
          <m:sSubSupPr>
            <m:ctrlPr>
              <w:rPr>
                <w:rFonts w:ascii="Cambria Math" w:hAnsi="Cambria Math"/>
                <w:i/>
                <w:szCs w:val="24"/>
              </w:rPr>
            </m:ctrlPr>
          </m:sSubSupPr>
          <m:e>
            <m:r>
              <w:rPr>
                <w:rFonts w:ascii="Cambria Math" w:hAnsi="Cambria Math"/>
                <w:szCs w:val="24"/>
              </w:rPr>
              <m:t>G</m:t>
            </m:r>
          </m:e>
          <m:sub>
            <m:r>
              <w:rPr>
                <w:rFonts w:ascii="Cambria Math" w:hAnsi="Cambria Math"/>
                <w:szCs w:val="24"/>
              </w:rPr>
              <m:t>b</m:t>
            </m:r>
          </m:sub>
          <m:sup>
            <m:r>
              <w:rPr>
                <w:rFonts w:ascii="Cambria Math" w:hAnsi="Cambria Math"/>
                <w:szCs w:val="24"/>
              </w:rPr>
              <m:t>0</m:t>
            </m:r>
          </m:sup>
        </m:sSubSup>
        <m:r>
          <w:rPr>
            <w:rFonts w:ascii="Cambria Math" w:hAnsi="Cambria Math"/>
            <w:szCs w:val="24"/>
          </w:rPr>
          <m:t>,</m:t>
        </m:r>
      </m:oMath>
      <w:r w:rsidRPr="00A2520B">
        <w:rPr>
          <w:szCs w:val="24"/>
        </w:rPr>
        <w:t xml:space="preserve"> we can add a correction term</w:t>
      </w:r>
    </w:p>
    <w:tbl>
      <w:tblPr>
        <w:tblW w:w="5000" w:type="pct"/>
        <w:tblLook w:val="04A0" w:firstRow="1" w:lastRow="0" w:firstColumn="1" w:lastColumn="0" w:noHBand="0" w:noVBand="1"/>
      </w:tblPr>
      <w:tblGrid>
        <w:gridCol w:w="316"/>
        <w:gridCol w:w="7626"/>
        <w:gridCol w:w="698"/>
      </w:tblGrid>
      <w:tr w:rsidR="00FF380F" w:rsidRPr="00A2520B" w14:paraId="7DBFC205" w14:textId="77777777" w:rsidTr="00EE0E19">
        <w:tc>
          <w:tcPr>
            <w:tcW w:w="257" w:type="pct"/>
            <w:shd w:val="clear" w:color="auto" w:fill="auto"/>
            <w:vAlign w:val="center"/>
          </w:tcPr>
          <w:p w14:paraId="3C4DA67F" w14:textId="77777777" w:rsidR="00FF380F" w:rsidRPr="00A2520B" w:rsidRDefault="00FF380F" w:rsidP="00FB769B">
            <w:pPr>
              <w:pStyle w:val="TAMainText"/>
              <w:rPr>
                <w:szCs w:val="24"/>
              </w:rPr>
            </w:pPr>
          </w:p>
        </w:tc>
        <w:tc>
          <w:tcPr>
            <w:tcW w:w="4487" w:type="pct"/>
            <w:shd w:val="clear" w:color="auto" w:fill="auto"/>
          </w:tcPr>
          <w:p w14:paraId="09F92EB5" w14:textId="77777777" w:rsidR="00FF380F" w:rsidRPr="00A2520B" w:rsidRDefault="00FF380F" w:rsidP="00FB769B">
            <w:pPr>
              <w:pStyle w:val="TAMainText"/>
              <w:rPr>
                <w:szCs w:val="24"/>
              </w:rPr>
            </w:pPr>
            <m:oMathPara>
              <m:oMath>
                <m:r>
                  <w:rPr>
                    <w:rFonts w:ascii="Cambria Math" w:hAnsi="Cambria Math"/>
                    <w:szCs w:val="24"/>
                  </w:rPr>
                  <m:t>∆</m:t>
                </m:r>
                <m:sSubSup>
                  <m:sSubSupPr>
                    <m:ctrlPr>
                      <w:rPr>
                        <w:rFonts w:ascii="Cambria Math" w:hAnsi="Cambria Math"/>
                        <w:i/>
                        <w:szCs w:val="24"/>
                      </w:rPr>
                    </m:ctrlPr>
                  </m:sSubSupPr>
                  <m:e>
                    <m:r>
                      <w:rPr>
                        <w:rFonts w:ascii="Cambria Math" w:hAnsi="Cambria Math"/>
                        <w:szCs w:val="24"/>
                      </w:rPr>
                      <m:t>G</m:t>
                    </m:r>
                  </m:e>
                  <m:sub>
                    <m:r>
                      <w:rPr>
                        <w:rFonts w:ascii="Cambria Math" w:hAnsi="Cambria Math"/>
                        <w:szCs w:val="24"/>
                      </w:rPr>
                      <m:t>b</m:t>
                    </m:r>
                  </m:sub>
                  <m:sup>
                    <m:r>
                      <w:rPr>
                        <w:rFonts w:ascii="Cambria Math" w:hAnsi="Cambria Math"/>
                        <w:szCs w:val="24"/>
                      </w:rPr>
                      <m:t>0</m:t>
                    </m:r>
                  </m:sup>
                </m:sSubSup>
                <m:r>
                  <w:rPr>
                    <w:rFonts w:ascii="Cambria Math" w:hAnsi="Cambria Math"/>
                    <w:szCs w:val="24"/>
                  </w:rPr>
                  <m:t>=∆</m:t>
                </m:r>
                <m:sSub>
                  <m:sSubPr>
                    <m:ctrlPr>
                      <w:rPr>
                        <w:rFonts w:ascii="Cambria Math" w:hAnsi="Cambria Math"/>
                        <w:i/>
                        <w:szCs w:val="24"/>
                      </w:rPr>
                    </m:ctrlPr>
                  </m:sSubPr>
                  <m:e>
                    <m:r>
                      <w:rPr>
                        <w:rFonts w:ascii="Cambria Math" w:hAnsi="Cambria Math"/>
                        <w:szCs w:val="24"/>
                      </w:rPr>
                      <m:t>G</m:t>
                    </m:r>
                  </m:e>
                  <m:sub>
                    <m:r>
                      <m:rPr>
                        <m:sty m:val="p"/>
                      </m:rPr>
                      <w:rPr>
                        <w:rFonts w:ascii="Cambria Math" w:hAnsi="Cambria Math"/>
                        <w:szCs w:val="24"/>
                      </w:rPr>
                      <m:t>Metad</m:t>
                    </m:r>
                  </m:sub>
                </m:sSub>
                <m:r>
                  <w:rPr>
                    <w:rFonts w:ascii="Cambria Math" w:hAnsi="Cambria Math"/>
                    <w:szCs w:val="24"/>
                  </w:rPr>
                  <m:t>-T∆S</m:t>
                </m:r>
              </m:oMath>
            </m:oMathPara>
          </w:p>
        </w:tc>
        <w:tc>
          <w:tcPr>
            <w:tcW w:w="257" w:type="pct"/>
            <w:shd w:val="clear" w:color="auto" w:fill="auto"/>
            <w:vAlign w:val="center"/>
          </w:tcPr>
          <w:p w14:paraId="37817DB1" w14:textId="77777777" w:rsidR="00FF380F" w:rsidRPr="00A2520B" w:rsidRDefault="00FF380F" w:rsidP="00FB769B">
            <w:pPr>
              <w:pStyle w:val="TAMainText"/>
              <w:rPr>
                <w:szCs w:val="24"/>
              </w:rPr>
            </w:pPr>
            <w:r w:rsidRPr="00A2520B">
              <w:rPr>
                <w:szCs w:val="24"/>
              </w:rPr>
              <w:t>(2)</w:t>
            </w:r>
          </w:p>
        </w:tc>
      </w:tr>
      <w:tr w:rsidR="00FF380F" w:rsidRPr="00A2520B" w14:paraId="02EB7EEE" w14:textId="77777777" w:rsidTr="00EE0E19">
        <w:tc>
          <w:tcPr>
            <w:tcW w:w="257" w:type="pct"/>
            <w:shd w:val="clear" w:color="auto" w:fill="auto"/>
            <w:vAlign w:val="center"/>
          </w:tcPr>
          <w:p w14:paraId="40832809" w14:textId="77777777" w:rsidR="00FF380F" w:rsidRPr="00A2520B" w:rsidRDefault="00FF380F" w:rsidP="00FB769B">
            <w:pPr>
              <w:pStyle w:val="TAMainText"/>
              <w:rPr>
                <w:szCs w:val="24"/>
              </w:rPr>
            </w:pPr>
          </w:p>
        </w:tc>
        <w:tc>
          <w:tcPr>
            <w:tcW w:w="4487" w:type="pct"/>
            <w:shd w:val="clear" w:color="auto" w:fill="auto"/>
          </w:tcPr>
          <w:p w14:paraId="02A3C29B" w14:textId="77777777" w:rsidR="00FF380F" w:rsidRPr="00A2520B" w:rsidRDefault="00FF380F" w:rsidP="00FB769B">
            <w:pPr>
              <w:pStyle w:val="TAMainText"/>
              <w:rPr>
                <w:szCs w:val="24"/>
              </w:rPr>
            </w:pPr>
            <m:oMathPara>
              <m:oMath>
                <m:r>
                  <w:rPr>
                    <w:rFonts w:ascii="Cambria Math" w:hAnsi="Cambria Math"/>
                    <w:szCs w:val="24"/>
                  </w:rPr>
                  <m:t>-T∆S=RT</m:t>
                </m:r>
                <m:func>
                  <m:funcPr>
                    <m:ctrlPr>
                      <w:rPr>
                        <w:rFonts w:ascii="Cambria Math" w:hAnsi="Cambria Math"/>
                        <w:i/>
                        <w:szCs w:val="24"/>
                      </w:rPr>
                    </m:ctrlPr>
                  </m:funcPr>
                  <m:fName>
                    <m:r>
                      <m:rPr>
                        <m:sty m:val="p"/>
                      </m:rPr>
                      <w:rPr>
                        <w:rFonts w:ascii="Cambria Math" w:hAnsi="Cambria Math"/>
                        <w:szCs w:val="24"/>
                      </w:rPr>
                      <m:t>ln</m:t>
                    </m:r>
                  </m:fName>
                  <m:e>
                    <m:d>
                      <m:dPr>
                        <m:ctrlPr>
                          <w:rPr>
                            <w:rFonts w:ascii="Cambria Math" w:hAnsi="Cambria Math"/>
                            <w:i/>
                            <w:szCs w:val="24"/>
                          </w:rPr>
                        </m:ctrlPr>
                      </m:dPr>
                      <m:e>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V</m:t>
                                </m:r>
                              </m:e>
                              <m:sup>
                                <m:r>
                                  <w:rPr>
                                    <w:rFonts w:ascii="Cambria Math" w:hAnsi="Cambria Math"/>
                                    <w:szCs w:val="24"/>
                                  </w:rPr>
                                  <m:t>0</m:t>
                                </m:r>
                              </m:sup>
                            </m:sSup>
                          </m:num>
                          <m:den>
                            <m:f>
                              <m:fPr>
                                <m:ctrlPr>
                                  <w:rPr>
                                    <w:rFonts w:ascii="Cambria Math" w:hAnsi="Cambria Math"/>
                                    <w:i/>
                                    <w:szCs w:val="24"/>
                                  </w:rPr>
                                </m:ctrlPr>
                              </m:fPr>
                              <m:num>
                                <m:r>
                                  <w:rPr>
                                    <w:rFonts w:ascii="Cambria Math" w:hAnsi="Cambria Math"/>
                                    <w:szCs w:val="24"/>
                                  </w:rPr>
                                  <m:t>4</m:t>
                                </m:r>
                              </m:num>
                              <m:den>
                                <m:r>
                                  <w:rPr>
                                    <w:rFonts w:ascii="Cambria Math" w:hAnsi="Cambria Math"/>
                                    <w:szCs w:val="24"/>
                                  </w:rPr>
                                  <m:t>3</m:t>
                                </m:r>
                              </m:den>
                            </m:f>
                            <m:r>
                              <w:rPr>
                                <w:rFonts w:ascii="Cambria Math" w:hAnsi="Cambria Math"/>
                                <w:szCs w:val="24"/>
                              </w:rPr>
                              <m:t>π</m:t>
                            </m:r>
                            <m:sSubSup>
                              <m:sSubSupPr>
                                <m:ctrlPr>
                                  <w:rPr>
                                    <w:rFonts w:ascii="Cambria Math" w:hAnsi="Cambria Math"/>
                                    <w:i/>
                                    <w:szCs w:val="24"/>
                                  </w:rPr>
                                </m:ctrlPr>
                              </m:sSubSupPr>
                              <m:e>
                                <m:r>
                                  <w:rPr>
                                    <w:rFonts w:ascii="Cambria Math" w:hAnsi="Cambria Math"/>
                                    <w:szCs w:val="24"/>
                                  </w:rPr>
                                  <m:t>ρ</m:t>
                                </m:r>
                              </m:e>
                              <m:sub>
                                <m:r>
                                  <w:rPr>
                                    <w:rFonts w:ascii="Cambria Math" w:hAnsi="Cambria Math"/>
                                    <w:szCs w:val="24"/>
                                  </w:rPr>
                                  <m:t>s</m:t>
                                </m:r>
                              </m:sub>
                              <m:sup>
                                <m:r>
                                  <w:rPr>
                                    <w:rFonts w:ascii="Cambria Math" w:hAnsi="Cambria Math"/>
                                    <w:szCs w:val="24"/>
                                  </w:rPr>
                                  <m:t>3</m:t>
                                </m:r>
                              </m:sup>
                            </m:sSubSup>
                            <m:r>
                              <w:rPr>
                                <w:rFonts w:ascii="Cambria Math" w:hAnsi="Cambria Math"/>
                                <w:szCs w:val="24"/>
                              </w:rPr>
                              <m:t>-</m:t>
                            </m:r>
                            <m:sSub>
                              <m:sSubPr>
                                <m:ctrlPr>
                                  <w:rPr>
                                    <w:rFonts w:ascii="Cambria Math" w:hAnsi="Cambria Math"/>
                                    <w:i/>
                                    <w:szCs w:val="24"/>
                                  </w:rPr>
                                </m:ctrlPr>
                              </m:sSubPr>
                              <m:e>
                                <m:r>
                                  <w:rPr>
                                    <w:rFonts w:ascii="Cambria Math" w:hAnsi="Cambria Math"/>
                                    <w:szCs w:val="24"/>
                                  </w:rPr>
                                  <m:t>V</m:t>
                                </m:r>
                              </m:e>
                              <m:sub>
                                <m:r>
                                  <m:rPr>
                                    <m:sty m:val="p"/>
                                  </m:rPr>
                                  <w:rPr>
                                    <w:rFonts w:ascii="Cambria Math" w:hAnsi="Cambria Math"/>
                                    <w:szCs w:val="24"/>
                                  </w:rPr>
                                  <m:t>prot</m:t>
                                </m:r>
                              </m:sub>
                            </m:sSub>
                          </m:den>
                        </m:f>
                      </m:e>
                    </m:d>
                  </m:e>
                </m:func>
              </m:oMath>
            </m:oMathPara>
          </w:p>
        </w:tc>
        <w:tc>
          <w:tcPr>
            <w:tcW w:w="257" w:type="pct"/>
            <w:shd w:val="clear" w:color="auto" w:fill="auto"/>
            <w:vAlign w:val="center"/>
          </w:tcPr>
          <w:p w14:paraId="5F6D65E9" w14:textId="77777777" w:rsidR="00FF380F" w:rsidRPr="00A2520B" w:rsidRDefault="00FF380F" w:rsidP="00FB769B">
            <w:pPr>
              <w:pStyle w:val="TAMainText"/>
              <w:rPr>
                <w:szCs w:val="24"/>
              </w:rPr>
            </w:pPr>
            <w:r w:rsidRPr="00A2520B">
              <w:rPr>
                <w:rFonts w:hint="eastAsia"/>
                <w:szCs w:val="24"/>
              </w:rPr>
              <w:t>(</w:t>
            </w:r>
            <w:r w:rsidRPr="00A2520B">
              <w:rPr>
                <w:szCs w:val="24"/>
              </w:rPr>
              <w:t>3)</w:t>
            </w:r>
          </w:p>
        </w:tc>
      </w:tr>
    </w:tbl>
    <w:p w14:paraId="1F712E6E" w14:textId="77777777" w:rsidR="00FF380F" w:rsidRPr="00A2520B" w:rsidRDefault="00FF380F" w:rsidP="008600AA">
      <w:pPr>
        <w:pStyle w:val="TAMainText"/>
        <w:ind w:firstLine="0"/>
        <w:rPr>
          <w:szCs w:val="24"/>
        </w:rPr>
      </w:pPr>
      <w:r w:rsidRPr="00A2520B">
        <w:rPr>
          <w:szCs w:val="24"/>
        </w:rPr>
        <w:t xml:space="preserve">where </w:t>
      </w:r>
      <m:oMath>
        <m:r>
          <w:rPr>
            <w:rFonts w:ascii="Cambria Math" w:hAnsi="Cambria Math"/>
            <w:szCs w:val="24"/>
          </w:rPr>
          <m:t>R</m:t>
        </m:r>
      </m:oMath>
      <w:r w:rsidRPr="00A2520B">
        <w:rPr>
          <w:szCs w:val="24"/>
        </w:rPr>
        <w:t xml:space="preserve"> is the gas constant, </w:t>
      </w:r>
      <m:oMath>
        <m:r>
          <w:rPr>
            <w:rFonts w:ascii="Cambria Math" w:hAnsi="Cambria Math"/>
            <w:szCs w:val="24"/>
          </w:rPr>
          <m:t>T</m:t>
        </m:r>
      </m:oMath>
      <w:r w:rsidRPr="00A2520B">
        <w:rPr>
          <w:szCs w:val="24"/>
        </w:rPr>
        <w:t xml:space="preserve"> is the system temperature, the standard volume </w:t>
      </w:r>
      <m:oMath>
        <m:sSup>
          <m:sSupPr>
            <m:ctrlPr>
              <w:rPr>
                <w:rFonts w:ascii="Cambria Math" w:hAnsi="Cambria Math"/>
                <w:i/>
                <w:szCs w:val="24"/>
              </w:rPr>
            </m:ctrlPr>
          </m:sSupPr>
          <m:e>
            <m:r>
              <w:rPr>
                <w:rFonts w:ascii="Cambria Math" w:hAnsi="Cambria Math"/>
                <w:szCs w:val="24"/>
              </w:rPr>
              <m:t>V</m:t>
            </m:r>
          </m:e>
          <m:sup>
            <m:r>
              <w:rPr>
                <w:rFonts w:ascii="Cambria Math" w:hAnsi="Cambria Math"/>
                <w:szCs w:val="24"/>
              </w:rPr>
              <m:t>0</m:t>
            </m:r>
          </m:sup>
        </m:sSup>
      </m:oMath>
      <w:r w:rsidRPr="00A2520B">
        <w:rPr>
          <w:szCs w:val="24"/>
        </w:rPr>
        <w:t xml:space="preserve"> is equal to 1,660 Å</w:t>
      </w:r>
      <w:r w:rsidRPr="00A2520B">
        <w:rPr>
          <w:szCs w:val="24"/>
          <w:vertAlign w:val="superscript"/>
        </w:rPr>
        <w:t>3</w:t>
      </w:r>
      <w:r w:rsidRPr="00A2520B">
        <w:rPr>
          <w:szCs w:val="24"/>
        </w:rPr>
        <w:t xml:space="preserve">, </w:t>
      </w:r>
      <m:oMath>
        <m:r>
          <w:rPr>
            <w:rFonts w:ascii="Cambria Math" w:hAnsi="Cambria Math"/>
            <w:szCs w:val="24"/>
          </w:rPr>
          <m:t>∆</m:t>
        </m:r>
        <m:sSub>
          <m:sSubPr>
            <m:ctrlPr>
              <w:rPr>
                <w:rFonts w:ascii="Cambria Math" w:hAnsi="Cambria Math"/>
                <w:i/>
                <w:szCs w:val="24"/>
              </w:rPr>
            </m:ctrlPr>
          </m:sSubPr>
          <m:e>
            <m:r>
              <w:rPr>
                <w:rFonts w:ascii="Cambria Math" w:hAnsi="Cambria Math"/>
                <w:szCs w:val="24"/>
              </w:rPr>
              <m:t>G</m:t>
            </m:r>
          </m:e>
          <m:sub>
            <m:r>
              <m:rPr>
                <m:sty m:val="p"/>
              </m:rPr>
              <w:rPr>
                <w:rFonts w:ascii="Cambria Math" w:hAnsi="Cambria Math"/>
                <w:szCs w:val="24"/>
              </w:rPr>
              <m:t>Metad</m:t>
            </m:r>
          </m:sub>
        </m:sSub>
      </m:oMath>
      <w:r w:rsidRPr="00A2520B">
        <w:rPr>
          <w:szCs w:val="24"/>
        </w:rPr>
        <w:t xml:space="preserve"> is the binding free energy obtained by metadynamics simulation, and </w:t>
      </w:r>
      <m:oMath>
        <m:sSub>
          <m:sSubPr>
            <m:ctrlPr>
              <w:rPr>
                <w:rFonts w:ascii="Cambria Math" w:hAnsi="Cambria Math"/>
                <w:i/>
                <w:szCs w:val="24"/>
              </w:rPr>
            </m:ctrlPr>
          </m:sSubPr>
          <m:e>
            <m:r>
              <w:rPr>
                <w:rFonts w:ascii="Cambria Math" w:hAnsi="Cambria Math"/>
                <w:szCs w:val="24"/>
              </w:rPr>
              <m:t>V</m:t>
            </m:r>
          </m:e>
          <m:sub>
            <m:r>
              <m:rPr>
                <m:sty m:val="p"/>
              </m:rPr>
              <w:rPr>
                <w:rFonts w:ascii="Cambria Math" w:hAnsi="Cambria Math"/>
                <w:szCs w:val="24"/>
              </w:rPr>
              <m:t>prot</m:t>
            </m:r>
          </m:sub>
        </m:sSub>
      </m:oMath>
      <w:r w:rsidRPr="00A2520B">
        <w:rPr>
          <w:szCs w:val="24"/>
        </w:rPr>
        <w:t xml:space="preserve"> is the volume of the NEET proteins (44,200 Å</w:t>
      </w:r>
      <w:r w:rsidRPr="00A2520B">
        <w:rPr>
          <w:szCs w:val="24"/>
          <w:vertAlign w:val="superscript"/>
        </w:rPr>
        <w:t>3</w:t>
      </w:r>
      <w:r w:rsidRPr="00A2520B">
        <w:rPr>
          <w:szCs w:val="24"/>
        </w:rPr>
        <w:t xml:space="preserve"> for </w:t>
      </w:r>
      <w:proofErr w:type="spellStart"/>
      <w:r w:rsidRPr="00A2520B">
        <w:rPr>
          <w:szCs w:val="24"/>
        </w:rPr>
        <w:t>mNT</w:t>
      </w:r>
      <w:proofErr w:type="spellEnd"/>
      <w:r w:rsidRPr="00A2520B">
        <w:rPr>
          <w:szCs w:val="24"/>
        </w:rPr>
        <w:t>).</w:t>
      </w:r>
    </w:p>
    <w:p w14:paraId="540EEDC1" w14:textId="77777777" w:rsidR="00FF380F" w:rsidRPr="00A2520B" w:rsidRDefault="00FF380F" w:rsidP="00FB769B">
      <w:pPr>
        <w:pStyle w:val="TAMainText"/>
        <w:rPr>
          <w:szCs w:val="24"/>
        </w:rPr>
      </w:pPr>
      <w:r w:rsidRPr="00A2520B">
        <w:rPr>
          <w:szCs w:val="24"/>
        </w:rPr>
        <w:lastRenderedPageBreak/>
        <w:t xml:space="preserve">The widths of Gaussians were chosen to be 0.1 nm, π/16 rad, and π/8 rad for </w:t>
      </w:r>
      <w:r w:rsidRPr="00A2520B">
        <w:rPr>
          <w:i/>
          <w:iCs/>
          <w:szCs w:val="24"/>
        </w:rPr>
        <w:t>ρ</w:t>
      </w:r>
      <w:r w:rsidRPr="00A2520B">
        <w:rPr>
          <w:szCs w:val="24"/>
        </w:rPr>
        <w:t xml:space="preserve">, </w:t>
      </w:r>
      <w:r w:rsidRPr="00A2520B">
        <w:rPr>
          <w:i/>
          <w:iCs/>
          <w:szCs w:val="24"/>
        </w:rPr>
        <w:t>θ</w:t>
      </w:r>
      <w:r w:rsidRPr="00A2520B">
        <w:rPr>
          <w:szCs w:val="24"/>
        </w:rPr>
        <w:t xml:space="preserve">, and </w:t>
      </w:r>
      <w:r w:rsidRPr="00A2520B">
        <w:rPr>
          <w:i/>
          <w:iCs/>
          <w:szCs w:val="24"/>
        </w:rPr>
        <w:t>φ</w:t>
      </w:r>
      <w:r w:rsidRPr="00A2520B">
        <w:rPr>
          <w:szCs w:val="24"/>
        </w:rPr>
        <w:t xml:space="preserve">, respectively, following the protocol of ref. </w:t>
      </w:r>
      <w:r w:rsidRPr="00BB243F">
        <w:rPr>
          <w:noProof/>
          <w:szCs w:val="24"/>
        </w:rPr>
        <w:t>15</w:t>
      </w:r>
      <w:r w:rsidRPr="00A2520B">
        <w:rPr>
          <w:szCs w:val="24"/>
        </w:rPr>
        <w:t>. The height of the Gaussian was set to 1.2 kJ·mol</w:t>
      </w:r>
      <w:r w:rsidRPr="00A2520B">
        <w:rPr>
          <w:szCs w:val="24"/>
          <w:vertAlign w:val="superscript"/>
        </w:rPr>
        <w:t>-1</w:t>
      </w:r>
      <w:r w:rsidRPr="00A2520B">
        <w:rPr>
          <w:szCs w:val="24"/>
        </w:rPr>
        <w:t>, and the bias factor was set to 20, with a deposition rate of 1 ps</w:t>
      </w:r>
      <w:r w:rsidRPr="00A2520B">
        <w:rPr>
          <w:szCs w:val="24"/>
          <w:vertAlign w:val="superscript"/>
        </w:rPr>
        <w:t>-1</w:t>
      </w:r>
      <w:r w:rsidRPr="00A2520B">
        <w:rPr>
          <w:szCs w:val="24"/>
        </w:rPr>
        <w:t xml:space="preserve">. The temperature and pressure were maintained with the same thermostat and </w:t>
      </w:r>
      <w:proofErr w:type="spellStart"/>
      <w:r w:rsidRPr="00A2520B">
        <w:rPr>
          <w:szCs w:val="24"/>
        </w:rPr>
        <w:t>barostat</w:t>
      </w:r>
      <w:proofErr w:type="spellEnd"/>
      <w:r w:rsidRPr="00A2520B">
        <w:rPr>
          <w:szCs w:val="24"/>
        </w:rPr>
        <w:t xml:space="preserve"> described in the initial equilibration (section 2.3). Five 300-ns volume-based well-tempered </w:t>
      </w:r>
      <w:proofErr w:type="spellStart"/>
      <w:r w:rsidRPr="00A2520B">
        <w:rPr>
          <w:szCs w:val="24"/>
        </w:rPr>
        <w:t>metadynamics</w:t>
      </w:r>
      <w:proofErr w:type="spellEnd"/>
      <w:r w:rsidRPr="00A2520B">
        <w:rPr>
          <w:szCs w:val="24"/>
        </w:rPr>
        <w:t xml:space="preserve"> simulations were carried out: </w:t>
      </w:r>
      <w:r w:rsidRPr="00A2520B">
        <w:rPr>
          <w:b/>
          <w:bCs/>
          <w:szCs w:val="24"/>
        </w:rPr>
        <w:t>I</w:t>
      </w:r>
      <w:r w:rsidRPr="00A2520B">
        <w:rPr>
          <w:szCs w:val="24"/>
        </w:rPr>
        <w:t xml:space="preserve"> at 293 K and </w:t>
      </w:r>
      <w:r w:rsidRPr="00A2520B">
        <w:rPr>
          <w:b/>
          <w:bCs/>
          <w:szCs w:val="24"/>
        </w:rPr>
        <w:t>I</w:t>
      </w:r>
      <w:r w:rsidRPr="000D3DD1">
        <w:rPr>
          <w:rFonts w:ascii="Times New Roman" w:hAnsi="Times New Roman"/>
          <w:bCs/>
          <w:szCs w:val="24"/>
        </w:rPr>
        <w:t>–</w:t>
      </w:r>
      <w:r w:rsidRPr="00A2520B">
        <w:rPr>
          <w:b/>
          <w:bCs/>
          <w:szCs w:val="24"/>
        </w:rPr>
        <w:t>IV</w:t>
      </w:r>
      <w:r w:rsidRPr="00A2520B">
        <w:rPr>
          <w:szCs w:val="24"/>
        </w:rPr>
        <w:t xml:space="preserve"> at 310 K. we used PLUMED-2.6.0</w:t>
      </w:r>
      <w:r w:rsidRPr="00A2520B">
        <w:rPr>
          <w:noProof/>
          <w:szCs w:val="24"/>
          <w:vertAlign w:val="superscript"/>
        </w:rPr>
        <w:t>41, 42</w:t>
      </w:r>
      <w:r w:rsidRPr="00A2520B">
        <w:rPr>
          <w:szCs w:val="24"/>
        </w:rPr>
        <w:t xml:space="preserve"> patched with GROMACS 2019.2</w:t>
      </w:r>
      <w:r w:rsidRPr="00A2520B">
        <w:rPr>
          <w:noProof/>
          <w:szCs w:val="24"/>
          <w:vertAlign w:val="superscript"/>
        </w:rPr>
        <w:t>36, 37</w:t>
      </w:r>
      <w:r w:rsidRPr="00A2520B">
        <w:rPr>
          <w:szCs w:val="24"/>
        </w:rPr>
        <w:t xml:space="preserve">. </w:t>
      </w:r>
    </w:p>
    <w:p w14:paraId="5BC3F401" w14:textId="77777777" w:rsidR="00FF380F" w:rsidRPr="00A2520B" w:rsidRDefault="00FF380F" w:rsidP="00461CCC">
      <w:pPr>
        <w:pStyle w:val="TAMainText"/>
        <w:rPr>
          <w:szCs w:val="24"/>
        </w:rPr>
      </w:pPr>
      <w:r w:rsidRPr="00A2520B">
        <w:rPr>
          <w:szCs w:val="24"/>
        </w:rPr>
        <w:t xml:space="preserve">We projected the free energy landscape onto the two following CVs: </w:t>
      </w:r>
      <w:r>
        <w:rPr>
          <w:szCs w:val="24"/>
        </w:rPr>
        <w:t>(</w:t>
      </w:r>
      <w:proofErr w:type="spellStart"/>
      <w:r>
        <w:rPr>
          <w:szCs w:val="24"/>
        </w:rPr>
        <w:t>i</w:t>
      </w:r>
      <w:proofErr w:type="spellEnd"/>
      <w:r>
        <w:rPr>
          <w:szCs w:val="24"/>
        </w:rPr>
        <w:t xml:space="preserve">) </w:t>
      </w:r>
      <w:r w:rsidRPr="00A2520B">
        <w:rPr>
          <w:szCs w:val="24"/>
        </w:rPr>
        <w:t>the d</w:t>
      </w:r>
      <w:r w:rsidRPr="00A2520B">
        <w:rPr>
          <w:rFonts w:hint="eastAsia"/>
          <w:szCs w:val="24"/>
        </w:rPr>
        <w:t>istance</w:t>
      </w:r>
      <w:r w:rsidRPr="00A2520B">
        <w:rPr>
          <w:szCs w:val="24"/>
        </w:rPr>
        <w:t xml:space="preserve"> from the ligand center to the center of the [2Fe</w:t>
      </w:r>
      <w:r w:rsidRPr="00A2520B">
        <w:rPr>
          <w:rFonts w:eastAsia="Times New Roman"/>
          <w:szCs w:val="24"/>
        </w:rPr>
        <w:t>–</w:t>
      </w:r>
      <w:r w:rsidRPr="00A2520B">
        <w:rPr>
          <w:szCs w:val="24"/>
        </w:rPr>
        <w:t xml:space="preserve">2S] cluster and </w:t>
      </w:r>
      <w:r>
        <w:rPr>
          <w:szCs w:val="24"/>
        </w:rPr>
        <w:t xml:space="preserve">(ii) </w:t>
      </w:r>
      <w:r w:rsidRPr="00A2520B">
        <w:rPr>
          <w:szCs w:val="24"/>
        </w:rPr>
        <w:t>the number of hydrogen bonds (H-bonds) and salt bridges defined by Eq. 4:</w:t>
      </w:r>
    </w:p>
    <w:tbl>
      <w:tblPr>
        <w:tblW w:w="4984" w:type="pct"/>
        <w:tblLook w:val="04A0" w:firstRow="1" w:lastRow="0" w:firstColumn="1" w:lastColumn="0" w:noHBand="0" w:noVBand="1"/>
      </w:tblPr>
      <w:tblGrid>
        <w:gridCol w:w="2195"/>
        <w:gridCol w:w="4223"/>
        <w:gridCol w:w="2194"/>
      </w:tblGrid>
      <w:tr w:rsidR="00FF380F" w:rsidRPr="00A2520B" w14:paraId="58FDE696" w14:textId="77777777" w:rsidTr="0081430C">
        <w:tc>
          <w:tcPr>
            <w:tcW w:w="1274" w:type="pct"/>
            <w:shd w:val="clear" w:color="auto" w:fill="auto"/>
            <w:vAlign w:val="center"/>
          </w:tcPr>
          <w:p w14:paraId="0774C3FA" w14:textId="77777777" w:rsidR="00FF380F" w:rsidRPr="00A2520B" w:rsidRDefault="00FF380F" w:rsidP="00FB769B">
            <w:pPr>
              <w:pStyle w:val="TAMainText"/>
              <w:rPr>
                <w:szCs w:val="24"/>
              </w:rPr>
            </w:pPr>
          </w:p>
        </w:tc>
        <w:tc>
          <w:tcPr>
            <w:tcW w:w="2452" w:type="pct"/>
            <w:shd w:val="clear" w:color="auto" w:fill="auto"/>
            <w:vAlign w:val="center"/>
          </w:tcPr>
          <w:p w14:paraId="258EF9BB" w14:textId="77777777" w:rsidR="00FF380F" w:rsidRPr="00A2520B" w:rsidRDefault="00FF380F" w:rsidP="00FB769B">
            <w:pPr>
              <w:pStyle w:val="TAMainText"/>
              <w:rPr>
                <w:szCs w:val="24"/>
              </w:rPr>
            </w:pPr>
            <m:oMathPara>
              <m:oMathParaPr>
                <m:jc m:val="center"/>
              </m:oMathParaPr>
              <m:oMath>
                <m:r>
                  <w:rPr>
                    <w:rFonts w:ascii="Cambria Math" w:hAnsi="Cambria Math"/>
                    <w:szCs w:val="24"/>
                  </w:rPr>
                  <m:t>n=</m:t>
                </m:r>
                <m:nary>
                  <m:naryPr>
                    <m:chr m:val="∑"/>
                    <m:limLoc m:val="undOvr"/>
                    <m:supHide m:val="1"/>
                    <m:ctrlPr>
                      <w:rPr>
                        <w:rFonts w:ascii="Cambria Math" w:hAnsi="Cambria Math"/>
                        <w:i/>
                        <w:szCs w:val="24"/>
                      </w:rPr>
                    </m:ctrlPr>
                  </m:naryPr>
                  <m:sub>
                    <m:r>
                      <w:rPr>
                        <w:rFonts w:ascii="Cambria Math" w:hAnsi="Cambria Math"/>
                        <w:szCs w:val="24"/>
                      </w:rPr>
                      <m:t>ij</m:t>
                    </m:r>
                  </m:sub>
                  <m:sup/>
                  <m:e>
                    <m:f>
                      <m:fPr>
                        <m:ctrlPr>
                          <w:rPr>
                            <w:rFonts w:ascii="Cambria Math" w:hAnsi="Cambria Math"/>
                            <w:i/>
                            <w:szCs w:val="24"/>
                          </w:rPr>
                        </m:ctrlPr>
                      </m:fPr>
                      <m:num>
                        <m:r>
                          <w:rPr>
                            <w:rFonts w:ascii="Cambria Math" w:hAnsi="Cambria Math"/>
                            <w:szCs w:val="24"/>
                          </w:rPr>
                          <m:t>1-</m:t>
                        </m:r>
                        <m:sSup>
                          <m:sSupPr>
                            <m:ctrlPr>
                              <w:rPr>
                                <w:rFonts w:ascii="Cambria Math" w:hAnsi="Cambria Math"/>
                                <w:i/>
                                <w:szCs w:val="24"/>
                              </w:rPr>
                            </m:ctrlPr>
                          </m:sSupPr>
                          <m:e>
                            <m:d>
                              <m:dPr>
                                <m:ctrlPr>
                                  <w:rPr>
                                    <w:rFonts w:ascii="Cambria Math" w:hAnsi="Cambria Math"/>
                                    <w:i/>
                                    <w:szCs w:val="24"/>
                                  </w:rPr>
                                </m:ctrlPr>
                              </m:dPr>
                              <m:e>
                                <m:f>
                                  <m:fPr>
                                    <m:type m:val="lin"/>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r</m:t>
                                        </m:r>
                                      </m:e>
                                      <m:sub>
                                        <m:r>
                                          <w:rPr>
                                            <w:rFonts w:ascii="Cambria Math" w:hAnsi="Cambria Math"/>
                                            <w:szCs w:val="24"/>
                                          </w:rPr>
                                          <m:t>ij</m:t>
                                        </m:r>
                                      </m:sub>
                                    </m:sSub>
                                  </m:num>
                                  <m:den>
                                    <m:sSub>
                                      <m:sSubPr>
                                        <m:ctrlPr>
                                          <w:rPr>
                                            <w:rFonts w:ascii="Cambria Math" w:hAnsi="Cambria Math"/>
                                            <w:i/>
                                            <w:szCs w:val="24"/>
                                          </w:rPr>
                                        </m:ctrlPr>
                                      </m:sSubPr>
                                      <m:e>
                                        <m:r>
                                          <w:rPr>
                                            <w:rFonts w:ascii="Cambria Math" w:hAnsi="Cambria Math"/>
                                            <w:szCs w:val="24"/>
                                          </w:rPr>
                                          <m:t>r</m:t>
                                        </m:r>
                                      </m:e>
                                      <m:sub>
                                        <m:r>
                                          <w:rPr>
                                            <w:rFonts w:ascii="Cambria Math" w:hAnsi="Cambria Math"/>
                                            <w:szCs w:val="24"/>
                                          </w:rPr>
                                          <m:t>0</m:t>
                                        </m:r>
                                      </m:sub>
                                    </m:sSub>
                                  </m:den>
                                </m:f>
                              </m:e>
                            </m:d>
                          </m:e>
                          <m:sup>
                            <m:r>
                              <w:rPr>
                                <w:rFonts w:ascii="Cambria Math" w:hAnsi="Cambria Math"/>
                                <w:szCs w:val="24"/>
                              </w:rPr>
                              <m:t>a</m:t>
                            </m:r>
                          </m:sup>
                        </m:sSup>
                      </m:num>
                      <m:den>
                        <m:r>
                          <w:rPr>
                            <w:rFonts w:ascii="Cambria Math" w:hAnsi="Cambria Math"/>
                            <w:szCs w:val="24"/>
                          </w:rPr>
                          <m:t>1-</m:t>
                        </m:r>
                        <m:sSup>
                          <m:sSupPr>
                            <m:ctrlPr>
                              <w:rPr>
                                <w:rFonts w:ascii="Cambria Math" w:hAnsi="Cambria Math"/>
                                <w:i/>
                                <w:szCs w:val="24"/>
                              </w:rPr>
                            </m:ctrlPr>
                          </m:sSupPr>
                          <m:e>
                            <m:d>
                              <m:dPr>
                                <m:ctrlPr>
                                  <w:rPr>
                                    <w:rFonts w:ascii="Cambria Math" w:hAnsi="Cambria Math"/>
                                    <w:i/>
                                    <w:szCs w:val="24"/>
                                  </w:rPr>
                                </m:ctrlPr>
                              </m:dPr>
                              <m:e>
                                <m:f>
                                  <m:fPr>
                                    <m:type m:val="lin"/>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r</m:t>
                                        </m:r>
                                      </m:e>
                                      <m:sub>
                                        <m:r>
                                          <w:rPr>
                                            <w:rFonts w:ascii="Cambria Math" w:hAnsi="Cambria Math"/>
                                            <w:szCs w:val="24"/>
                                          </w:rPr>
                                          <m:t>ij</m:t>
                                        </m:r>
                                      </m:sub>
                                    </m:sSub>
                                  </m:num>
                                  <m:den>
                                    <m:sSub>
                                      <m:sSubPr>
                                        <m:ctrlPr>
                                          <w:rPr>
                                            <w:rFonts w:ascii="Cambria Math" w:hAnsi="Cambria Math"/>
                                            <w:i/>
                                            <w:szCs w:val="24"/>
                                          </w:rPr>
                                        </m:ctrlPr>
                                      </m:sSubPr>
                                      <m:e>
                                        <m:r>
                                          <w:rPr>
                                            <w:rFonts w:ascii="Cambria Math" w:hAnsi="Cambria Math"/>
                                            <w:szCs w:val="24"/>
                                          </w:rPr>
                                          <m:t>r</m:t>
                                        </m:r>
                                      </m:e>
                                      <m:sub>
                                        <m:r>
                                          <w:rPr>
                                            <w:rFonts w:ascii="Cambria Math" w:hAnsi="Cambria Math"/>
                                            <w:szCs w:val="24"/>
                                          </w:rPr>
                                          <m:t>0</m:t>
                                        </m:r>
                                      </m:sub>
                                    </m:sSub>
                                  </m:den>
                                </m:f>
                              </m:e>
                            </m:d>
                          </m:e>
                          <m:sup>
                            <m:r>
                              <w:rPr>
                                <w:rFonts w:ascii="Cambria Math" w:hAnsi="Cambria Math"/>
                                <w:szCs w:val="24"/>
                              </w:rPr>
                              <m:t>b</m:t>
                            </m:r>
                          </m:sup>
                        </m:sSup>
                      </m:den>
                    </m:f>
                  </m:e>
                </m:nary>
              </m:oMath>
            </m:oMathPara>
          </w:p>
        </w:tc>
        <w:tc>
          <w:tcPr>
            <w:tcW w:w="1274" w:type="pct"/>
            <w:shd w:val="clear" w:color="auto" w:fill="auto"/>
            <w:vAlign w:val="center"/>
          </w:tcPr>
          <w:p w14:paraId="790F3F57" w14:textId="77777777" w:rsidR="00FF380F" w:rsidRPr="00A2520B" w:rsidRDefault="00FF380F" w:rsidP="0081430C">
            <w:pPr>
              <w:pStyle w:val="TAMainText"/>
              <w:jc w:val="right"/>
              <w:rPr>
                <w:szCs w:val="24"/>
              </w:rPr>
            </w:pPr>
            <w:r w:rsidRPr="00A2520B">
              <w:rPr>
                <w:rFonts w:hint="eastAsia"/>
                <w:szCs w:val="24"/>
              </w:rPr>
              <w:t>(</w:t>
            </w:r>
            <w:r w:rsidRPr="00A2520B">
              <w:rPr>
                <w:szCs w:val="24"/>
              </w:rPr>
              <w:t>4)</w:t>
            </w:r>
          </w:p>
        </w:tc>
      </w:tr>
    </w:tbl>
    <w:p w14:paraId="1F83FD9B" w14:textId="77777777" w:rsidR="00FF380F" w:rsidRPr="00A2520B" w:rsidRDefault="00FF380F" w:rsidP="004325DE">
      <w:pPr>
        <w:pStyle w:val="TAMainText"/>
        <w:ind w:firstLine="0"/>
        <w:rPr>
          <w:szCs w:val="24"/>
        </w:rPr>
      </w:pPr>
      <w:r w:rsidRPr="00A2520B">
        <w:rPr>
          <w:szCs w:val="24"/>
        </w:rPr>
        <w:t xml:space="preserve">where </w:t>
      </w:r>
      <m:oMath>
        <m:r>
          <w:rPr>
            <w:rFonts w:ascii="Cambria Math" w:hAnsi="Cambria Math"/>
            <w:szCs w:val="24"/>
          </w:rPr>
          <m:t>a</m:t>
        </m:r>
      </m:oMath>
      <w:r w:rsidRPr="00A2520B">
        <w:rPr>
          <w:szCs w:val="24"/>
        </w:rPr>
        <w:t xml:space="preserve"> and </w:t>
      </w:r>
      <m:oMath>
        <m:r>
          <w:rPr>
            <w:rFonts w:ascii="Cambria Math" w:hAnsi="Cambria Math"/>
            <w:szCs w:val="24"/>
          </w:rPr>
          <m:t>b</m:t>
        </m:r>
      </m:oMath>
      <w:r w:rsidRPr="00A2520B">
        <w:rPr>
          <w:szCs w:val="24"/>
        </w:rPr>
        <w:t xml:space="preserve"> are set to 8 and 12, respectively, </w:t>
      </w:r>
      <w:bookmarkStart w:id="5" w:name="_Hlk111037459"/>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0</m:t>
            </m:r>
          </m:sub>
        </m:sSub>
      </m:oMath>
      <w:r w:rsidRPr="00A2520B">
        <w:rPr>
          <w:szCs w:val="24"/>
        </w:rPr>
        <w:t xml:space="preserve"> = 2.5 Å</w:t>
      </w:r>
      <w:bookmarkEnd w:id="5"/>
      <w:r w:rsidRPr="00A2520B">
        <w:rPr>
          <w:noProof/>
          <w:szCs w:val="24"/>
          <w:vertAlign w:val="superscript"/>
        </w:rPr>
        <w:t>43</w:t>
      </w:r>
      <w:r w:rsidRPr="00A2520B">
        <w:rPr>
          <w:szCs w:val="24"/>
        </w:rPr>
        <w:t xml:space="preserve">, and </w:t>
      </w:r>
      <w:r w:rsidRPr="00A2520B">
        <w:rPr>
          <w:rFonts w:hint="eastAsia"/>
          <w:szCs w:val="24"/>
          <w:lang w:eastAsia="zh-CN"/>
        </w:rPr>
        <w:t>a</w:t>
      </w:r>
      <w:r w:rsidRPr="00A2520B">
        <w:rPr>
          <w:szCs w:val="24"/>
          <w:lang w:eastAsia="zh-CN"/>
        </w:rPr>
        <w:t xml:space="preserve">tom </w:t>
      </w:r>
      <m:oMath>
        <m:r>
          <w:rPr>
            <w:rFonts w:ascii="Cambria Math" w:hAnsi="Cambria Math"/>
            <w:szCs w:val="24"/>
          </w:rPr>
          <m:t>i</m:t>
        </m:r>
      </m:oMath>
      <w:r w:rsidRPr="00A2520B">
        <w:rPr>
          <w:szCs w:val="24"/>
        </w:rPr>
        <w:t xml:space="preserve"> and </w:t>
      </w:r>
      <m:oMath>
        <m:r>
          <w:rPr>
            <w:rFonts w:ascii="Cambria Math" w:hAnsi="Cambria Math"/>
            <w:szCs w:val="24"/>
          </w:rPr>
          <m:t>j</m:t>
        </m:r>
      </m:oMath>
      <w:r w:rsidRPr="00A2520B">
        <w:rPr>
          <w:rFonts w:hint="eastAsia"/>
          <w:szCs w:val="24"/>
          <w:lang w:eastAsia="zh-CN"/>
        </w:rPr>
        <w:t xml:space="preserve"> </w:t>
      </w:r>
      <w:r w:rsidRPr="00A2520B">
        <w:rPr>
          <w:szCs w:val="24"/>
          <w:lang w:eastAsia="zh-CN"/>
        </w:rPr>
        <w:t>represents the donor and acceptor atom, respectively</w:t>
      </w:r>
      <w:r w:rsidRPr="00A2520B">
        <w:rPr>
          <w:szCs w:val="24"/>
        </w:rPr>
        <w:t xml:space="preserve">. The </w:t>
      </w:r>
      <w:r w:rsidRPr="00A2520B">
        <w:rPr>
          <w:szCs w:val="24"/>
          <w:lang w:eastAsia="zh-CN"/>
        </w:rPr>
        <w:t>coordination numbers</w:t>
      </w:r>
      <w:r w:rsidRPr="00A2520B">
        <w:rPr>
          <w:b/>
          <w:bCs/>
          <w:szCs w:val="24"/>
          <w:lang w:eastAsia="zh-CN"/>
        </w:rPr>
        <w:t xml:space="preserve"> </w:t>
      </w:r>
      <w:r w:rsidRPr="00A2520B">
        <w:rPr>
          <w:szCs w:val="24"/>
          <w:lang w:eastAsia="zh-CN"/>
        </w:rPr>
        <w:t>between</w:t>
      </w:r>
      <w:r w:rsidRPr="00F921C8">
        <w:rPr>
          <w:szCs w:val="24"/>
          <w:lang w:eastAsia="zh-CN"/>
        </w:rPr>
        <w:t xml:space="preserve"> </w:t>
      </w:r>
      <w:r w:rsidRPr="00A2520B">
        <w:rPr>
          <w:b/>
          <w:bCs/>
          <w:szCs w:val="24"/>
          <w:lang w:eastAsia="zh-CN"/>
        </w:rPr>
        <w:t>A</w:t>
      </w:r>
      <w:r w:rsidRPr="00F921C8">
        <w:rPr>
          <w:szCs w:val="24"/>
          <w:lang w:eastAsia="zh-CN"/>
        </w:rPr>
        <w:t xml:space="preserve"> </w:t>
      </w:r>
      <w:r w:rsidRPr="00A2520B">
        <w:rPr>
          <w:szCs w:val="24"/>
          <w:lang w:eastAsia="zh-CN"/>
        </w:rPr>
        <w:t xml:space="preserve">(set of atoms </w:t>
      </w:r>
      <m:oMath>
        <m:r>
          <w:rPr>
            <w:rFonts w:ascii="Cambria Math" w:hAnsi="Cambria Math"/>
            <w:szCs w:val="24"/>
            <w:lang w:eastAsia="zh-CN"/>
          </w:rPr>
          <m:t>i</m:t>
        </m:r>
      </m:oMath>
      <w:r w:rsidRPr="00A2520B">
        <w:rPr>
          <w:szCs w:val="24"/>
          <w:lang w:eastAsia="zh-CN"/>
        </w:rPr>
        <w:t xml:space="preserve">) and protein (set of atoms </w:t>
      </w:r>
      <m:oMath>
        <m:r>
          <w:rPr>
            <w:rFonts w:ascii="Cambria Math" w:hAnsi="Cambria Math"/>
            <w:szCs w:val="24"/>
            <w:lang w:eastAsia="zh-CN"/>
          </w:rPr>
          <m:t>j</m:t>
        </m:r>
      </m:oMath>
      <w:r w:rsidRPr="00A2520B">
        <w:rPr>
          <w:iCs/>
          <w:szCs w:val="24"/>
          <w:lang w:eastAsia="zh-CN"/>
        </w:rPr>
        <w:t>)</w:t>
      </w:r>
      <w:r w:rsidRPr="00A2520B">
        <w:rPr>
          <w:szCs w:val="24"/>
          <w:lang w:eastAsia="zh-CN"/>
        </w:rPr>
        <w:t xml:space="preserve"> were defined also by using Eq. 4, with </w:t>
      </w: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0</m:t>
            </m:r>
          </m:sub>
        </m:sSub>
      </m:oMath>
      <w:r w:rsidRPr="00A2520B">
        <w:rPr>
          <w:szCs w:val="24"/>
        </w:rPr>
        <w:t xml:space="preserve"> = 4.5 Å</w:t>
      </w:r>
      <w:r w:rsidRPr="00A2520B">
        <w:rPr>
          <w:rFonts w:hint="eastAsia"/>
          <w:szCs w:val="24"/>
          <w:lang w:eastAsia="zh-CN"/>
        </w:rPr>
        <w:t>,</w:t>
      </w:r>
      <w:r w:rsidRPr="00A2520B">
        <w:rPr>
          <w:szCs w:val="24"/>
          <w:lang w:eastAsia="zh-CN"/>
        </w:rPr>
        <w:t xml:space="preserve"> </w:t>
      </w:r>
      <m:oMath>
        <m:r>
          <w:rPr>
            <w:rFonts w:ascii="Cambria Math" w:hAnsi="Cambria Math"/>
            <w:szCs w:val="24"/>
          </w:rPr>
          <m:t>a</m:t>
        </m:r>
      </m:oMath>
      <w:r w:rsidRPr="00A2520B">
        <w:rPr>
          <w:szCs w:val="24"/>
        </w:rPr>
        <w:t xml:space="preserve"> and </w:t>
      </w:r>
      <m:oMath>
        <m:r>
          <w:rPr>
            <w:rFonts w:ascii="Cambria Math" w:hAnsi="Cambria Math"/>
            <w:szCs w:val="24"/>
          </w:rPr>
          <m:t>b</m:t>
        </m:r>
      </m:oMath>
      <w:r w:rsidRPr="00A2520B">
        <w:rPr>
          <w:szCs w:val="24"/>
        </w:rPr>
        <w:t xml:space="preserve"> are 6 and 12, respectively</w:t>
      </w:r>
      <w:r w:rsidRPr="00A2520B">
        <w:rPr>
          <w:noProof/>
          <w:szCs w:val="24"/>
          <w:vertAlign w:val="superscript"/>
        </w:rPr>
        <w:t>15</w:t>
      </w:r>
      <w:r w:rsidRPr="00A2520B">
        <w:rPr>
          <w:szCs w:val="24"/>
        </w:rPr>
        <w:t xml:space="preserve">. </w:t>
      </w:r>
    </w:p>
    <w:p w14:paraId="25A4F97A" w14:textId="77777777" w:rsidR="00FF380F" w:rsidRPr="000B68C1" w:rsidRDefault="00FF380F" w:rsidP="00582D34">
      <w:pPr>
        <w:spacing w:line="360" w:lineRule="auto"/>
        <w:jc w:val="left"/>
        <w:rPr>
          <w:rFonts w:ascii="Times New Roman" w:hAnsi="Times New Roman"/>
          <w:b/>
          <w:bCs/>
          <w:sz w:val="16"/>
          <w:szCs w:val="16"/>
          <w:lang w:eastAsia="zh-CN"/>
        </w:rPr>
      </w:pPr>
    </w:p>
    <w:p w14:paraId="450392D0" w14:textId="77777777" w:rsidR="00FF380F" w:rsidRPr="00BC147B" w:rsidRDefault="00FF380F" w:rsidP="00DC45CD">
      <w:pPr>
        <w:pStyle w:val="TAMainText"/>
        <w:numPr>
          <w:ilvl w:val="0"/>
          <w:numId w:val="12"/>
        </w:numPr>
        <w:spacing w:after="240"/>
        <w:jc w:val="left"/>
        <w:rPr>
          <w:b/>
          <w:bCs/>
          <w:szCs w:val="24"/>
          <w:lang w:eastAsia="zh-CN"/>
        </w:rPr>
      </w:pPr>
      <w:r w:rsidRPr="00BC147B">
        <w:rPr>
          <w:b/>
          <w:bCs/>
          <w:szCs w:val="24"/>
          <w:lang w:eastAsia="zh-CN"/>
        </w:rPr>
        <w:t>RESULTS AND DISCUSSION</w:t>
      </w:r>
    </w:p>
    <w:p w14:paraId="35241911" w14:textId="77777777" w:rsidR="00FF380F" w:rsidRPr="00BC147B" w:rsidRDefault="00FF380F" w:rsidP="00633285">
      <w:pPr>
        <w:pStyle w:val="TAMainText"/>
        <w:rPr>
          <w:szCs w:val="24"/>
        </w:rPr>
      </w:pPr>
      <w:r>
        <w:rPr>
          <w:szCs w:val="24"/>
        </w:rPr>
        <w:t xml:space="preserve">We consider here </w:t>
      </w:r>
      <w:r w:rsidRPr="00913B8A">
        <w:rPr>
          <w:szCs w:val="24"/>
        </w:rPr>
        <w:t>four complexes (</w:t>
      </w:r>
      <w:r w:rsidRPr="00913B8A">
        <w:rPr>
          <w:b/>
          <w:bCs/>
          <w:szCs w:val="24"/>
        </w:rPr>
        <w:t>I</w:t>
      </w:r>
      <w:r w:rsidRPr="00E279C7">
        <w:rPr>
          <w:szCs w:val="24"/>
        </w:rPr>
        <w:t>–</w:t>
      </w:r>
      <w:r w:rsidRPr="00913B8A">
        <w:rPr>
          <w:b/>
          <w:bCs/>
          <w:szCs w:val="24"/>
        </w:rPr>
        <w:t>IV</w:t>
      </w:r>
      <w:r w:rsidRPr="0030460F">
        <w:rPr>
          <w:szCs w:val="24"/>
        </w:rPr>
        <w:t>,</w:t>
      </w:r>
      <w:r>
        <w:rPr>
          <w:b/>
          <w:bCs/>
          <w:szCs w:val="24"/>
        </w:rPr>
        <w:t xml:space="preserve"> </w:t>
      </w:r>
      <w:r w:rsidRPr="0030460F">
        <w:rPr>
          <w:szCs w:val="24"/>
        </w:rPr>
        <w:t>see Table 1</w:t>
      </w:r>
      <w:r w:rsidRPr="00913B8A">
        <w:rPr>
          <w:szCs w:val="24"/>
        </w:rPr>
        <w:t xml:space="preserve">) of the </w:t>
      </w:r>
      <w:proofErr w:type="spellStart"/>
      <w:r w:rsidRPr="00913B8A">
        <w:rPr>
          <w:b/>
          <w:szCs w:val="24"/>
        </w:rPr>
        <w:t>A</w:t>
      </w:r>
      <w:r w:rsidRPr="00913B8A">
        <w:rPr>
          <w:szCs w:val="24"/>
        </w:rPr>
        <w:t>·mNT</w:t>
      </w:r>
      <w:proofErr w:type="spellEnd"/>
      <w:r w:rsidRPr="00913B8A">
        <w:rPr>
          <w:szCs w:val="24"/>
        </w:rPr>
        <w:t xml:space="preserve"> complex</w:t>
      </w:r>
      <w:r>
        <w:rPr>
          <w:szCs w:val="24"/>
        </w:rPr>
        <w:t>, differing</w:t>
      </w:r>
      <w:r w:rsidRPr="00913B8A">
        <w:rPr>
          <w:szCs w:val="24"/>
        </w:rPr>
        <w:t xml:space="preserve"> </w:t>
      </w:r>
      <w:r>
        <w:rPr>
          <w:szCs w:val="24"/>
        </w:rPr>
        <w:t xml:space="preserve">in </w:t>
      </w:r>
      <w:r w:rsidRPr="00913B8A">
        <w:rPr>
          <w:szCs w:val="24"/>
        </w:rPr>
        <w:t>the oxidation state and N</w:t>
      </w:r>
      <w:r w:rsidRPr="00913B8A">
        <w:rPr>
          <w:szCs w:val="24"/>
          <w:vertAlign w:val="subscript"/>
        </w:rPr>
        <w:t>ε</w:t>
      </w:r>
      <w:r w:rsidRPr="00913B8A">
        <w:rPr>
          <w:szCs w:val="24"/>
        </w:rPr>
        <w:t xml:space="preserve">@His87 protonation state </w:t>
      </w:r>
      <w:r>
        <w:rPr>
          <w:szCs w:val="24"/>
        </w:rPr>
        <w:t>the</w:t>
      </w:r>
      <w:r w:rsidRPr="00913B8A">
        <w:rPr>
          <w:szCs w:val="24"/>
        </w:rPr>
        <w:t xml:space="preserve"> clusters</w:t>
      </w:r>
      <w:r>
        <w:rPr>
          <w:szCs w:val="24"/>
        </w:rPr>
        <w:t xml:space="preserve">. </w:t>
      </w:r>
      <w:r w:rsidRPr="00BC147B">
        <w:rPr>
          <w:szCs w:val="24"/>
        </w:rPr>
        <w:t xml:space="preserve">We first perform 0.5 </w:t>
      </w:r>
      <w:r w:rsidRPr="00BC147B">
        <w:rPr>
          <w:szCs w:val="24"/>
        </w:rPr>
        <w:sym w:font="Symbol" w:char="F06D"/>
      </w:r>
      <w:r w:rsidRPr="00BC147B">
        <w:rPr>
          <w:szCs w:val="24"/>
        </w:rPr>
        <w:t xml:space="preserve">s molecular dynamics at constant temperature and pressure to equilibrate complexes </w:t>
      </w:r>
      <w:r w:rsidRPr="00BC147B">
        <w:rPr>
          <w:b/>
          <w:bCs/>
          <w:szCs w:val="24"/>
        </w:rPr>
        <w:t>I</w:t>
      </w:r>
      <w:bookmarkStart w:id="6" w:name="_Hlk115197456"/>
      <w:r w:rsidRPr="00DD6AE6">
        <w:rPr>
          <w:rFonts w:ascii="Times New Roman" w:hAnsi="Times New Roman"/>
          <w:bCs/>
          <w:szCs w:val="24"/>
        </w:rPr>
        <w:t>–</w:t>
      </w:r>
      <w:bookmarkEnd w:id="6"/>
      <w:r w:rsidRPr="00BC147B">
        <w:rPr>
          <w:b/>
          <w:bCs/>
          <w:szCs w:val="24"/>
        </w:rPr>
        <w:t>IV</w:t>
      </w:r>
      <w:r w:rsidRPr="00BC147B">
        <w:rPr>
          <w:szCs w:val="24"/>
        </w:rPr>
        <w:t>. The systems appear equilibrated, as shown by plots of the RMSD values against simulated time (See SI, Fig</w:t>
      </w:r>
      <w:r>
        <w:rPr>
          <w:szCs w:val="24"/>
        </w:rPr>
        <w:t>.</w:t>
      </w:r>
      <w:r w:rsidRPr="00BC147B">
        <w:rPr>
          <w:szCs w:val="24"/>
        </w:rPr>
        <w:t xml:space="preserve"> S1). Next, we predict the free energies of binding and unbinding by ~0.3 </w:t>
      </w:r>
      <w:r w:rsidRPr="00BC147B">
        <w:rPr>
          <w:szCs w:val="24"/>
        </w:rPr>
        <w:lastRenderedPageBreak/>
        <w:sym w:font="Symbol" w:char="F06D"/>
      </w:r>
      <w:r w:rsidRPr="00BC147B">
        <w:rPr>
          <w:szCs w:val="24"/>
        </w:rPr>
        <w:t xml:space="preserve">s volume-based </w:t>
      </w:r>
      <w:proofErr w:type="spellStart"/>
      <w:r w:rsidRPr="00BC147B">
        <w:rPr>
          <w:szCs w:val="24"/>
        </w:rPr>
        <w:t>metadynamics</w:t>
      </w:r>
      <w:proofErr w:type="spellEnd"/>
      <w:r w:rsidRPr="00BC147B">
        <w:rPr>
          <w:szCs w:val="24"/>
        </w:rPr>
        <w:t xml:space="preserve"> simulations (Fig</w:t>
      </w:r>
      <w:r>
        <w:rPr>
          <w:szCs w:val="24"/>
        </w:rPr>
        <w:t>.</w:t>
      </w:r>
      <w:r w:rsidRPr="00BC147B">
        <w:rPr>
          <w:szCs w:val="24"/>
        </w:rPr>
        <w:t xml:space="preserve"> S</w:t>
      </w:r>
      <w:r>
        <w:rPr>
          <w:szCs w:val="24"/>
        </w:rPr>
        <w:t>3</w:t>
      </w:r>
      <w:r w:rsidRPr="00BC147B">
        <w:rPr>
          <w:szCs w:val="24"/>
        </w:rPr>
        <w:t xml:space="preserve"> in SI). They are calculated as a function of the spherical CVs. However, </w:t>
      </w:r>
      <w:r>
        <w:rPr>
          <w:szCs w:val="24"/>
        </w:rPr>
        <w:t xml:space="preserve">in the follow-up discussion, </w:t>
      </w:r>
      <w:r w:rsidRPr="00BC147B">
        <w:rPr>
          <w:szCs w:val="24"/>
        </w:rPr>
        <w:t>we find it more convenient to plot it as a function of distance to the [2Fe</w:t>
      </w:r>
      <w:r w:rsidRPr="00BC147B">
        <w:rPr>
          <w:rFonts w:eastAsia="Times New Roman"/>
          <w:szCs w:val="24"/>
        </w:rPr>
        <w:t>–</w:t>
      </w:r>
      <w:r w:rsidRPr="00BC147B">
        <w:rPr>
          <w:szCs w:val="24"/>
        </w:rPr>
        <w:t xml:space="preserve">2S] cluster in the proximity of the ligand along with the number of H-bond and salt bridges. </w:t>
      </w:r>
    </w:p>
    <w:p w14:paraId="44E28368" w14:textId="77777777" w:rsidR="00FF380F" w:rsidRPr="00A117E7" w:rsidRDefault="00FF380F" w:rsidP="00633285">
      <w:pPr>
        <w:pStyle w:val="TAMainText"/>
        <w:rPr>
          <w:szCs w:val="24"/>
        </w:rPr>
      </w:pPr>
    </w:p>
    <w:p w14:paraId="40D80BA4" w14:textId="77777777" w:rsidR="00FF380F" w:rsidRPr="00A117E7" w:rsidRDefault="00FF380F" w:rsidP="00DC45CD">
      <w:pPr>
        <w:pStyle w:val="TAMainText"/>
        <w:numPr>
          <w:ilvl w:val="1"/>
          <w:numId w:val="12"/>
        </w:numPr>
        <w:spacing w:after="240"/>
        <w:jc w:val="left"/>
        <w:rPr>
          <w:szCs w:val="24"/>
          <w:lang w:eastAsia="zh-CN"/>
        </w:rPr>
      </w:pPr>
      <w:bookmarkStart w:id="7" w:name="_Hlk110268205"/>
      <w:r w:rsidRPr="00A117E7">
        <w:rPr>
          <w:rFonts w:ascii="Times New Roman" w:hAnsi="Times New Roman"/>
          <w:b/>
          <w:szCs w:val="24"/>
        </w:rPr>
        <w:t>From the crystal to aqueous solution</w:t>
      </w:r>
      <w:bookmarkEnd w:id="7"/>
    </w:p>
    <w:p w14:paraId="3B436AC5" w14:textId="77777777" w:rsidR="00FF380F" w:rsidRPr="00A117E7" w:rsidRDefault="00FF380F" w:rsidP="006040CA">
      <w:pPr>
        <w:pStyle w:val="TAMainText"/>
        <w:rPr>
          <w:szCs w:val="24"/>
        </w:rPr>
      </w:pPr>
      <w:r w:rsidRPr="00A117E7">
        <w:rPr>
          <w:szCs w:val="24"/>
        </w:rPr>
        <w:t xml:space="preserve">To study the changes on passing from the crystal to solution, we investigate the free energy landscape associated with </w:t>
      </w:r>
      <w:r w:rsidRPr="00A117E7">
        <w:rPr>
          <w:b/>
          <w:szCs w:val="24"/>
        </w:rPr>
        <w:t>A (</w:t>
      </w:r>
      <w:r w:rsidRPr="00A117E7">
        <w:rPr>
          <w:szCs w:val="24"/>
        </w:rPr>
        <w:t>un)binding in aqueous solution.</w:t>
      </w:r>
      <w:r w:rsidRPr="00A117E7">
        <w:rPr>
          <w:rStyle w:val="ae"/>
        </w:rPr>
        <w:footnoteReference w:id="2"/>
      </w:r>
      <w:r w:rsidRPr="00A117E7">
        <w:rPr>
          <w:szCs w:val="24"/>
        </w:rPr>
        <w:t xml:space="preserve"> We simulate the system at the same temperature as that of the X-ray structure (293 K) and consider (</w:t>
      </w:r>
      <w:proofErr w:type="spellStart"/>
      <w:r w:rsidRPr="00A117E7">
        <w:rPr>
          <w:szCs w:val="24"/>
        </w:rPr>
        <w:t>i</w:t>
      </w:r>
      <w:proofErr w:type="spellEnd"/>
      <w:r w:rsidRPr="00A117E7">
        <w:rPr>
          <w:szCs w:val="24"/>
        </w:rPr>
        <w:t>) the Fe-bound histidine deprotonated, as expected at the pH of crystallization (pH 8.0</w:t>
      </w:r>
      <w:r w:rsidRPr="00A117E7">
        <w:rPr>
          <w:noProof/>
          <w:szCs w:val="24"/>
          <w:vertAlign w:val="superscript"/>
        </w:rPr>
        <w:t>11</w:t>
      </w:r>
      <w:r w:rsidRPr="00A117E7">
        <w:rPr>
          <w:szCs w:val="24"/>
        </w:rPr>
        <w:t>) and (ii) the oxidized state (</w:t>
      </w:r>
      <w:r w:rsidRPr="00A117E7">
        <w:rPr>
          <w:b/>
          <w:bCs/>
          <w:szCs w:val="24"/>
        </w:rPr>
        <w:t>I</w:t>
      </w:r>
      <w:r w:rsidRPr="00A117E7">
        <w:rPr>
          <w:szCs w:val="24"/>
        </w:rPr>
        <w:t xml:space="preserve"> in Table 1) as in the X-ray structure. </w:t>
      </w:r>
    </w:p>
    <w:p w14:paraId="2463D964" w14:textId="77777777" w:rsidR="00FF380F" w:rsidRPr="00A117E7" w:rsidRDefault="00FF380F" w:rsidP="000C4E2E">
      <w:pPr>
        <w:pStyle w:val="TAMainText"/>
        <w:rPr>
          <w:szCs w:val="24"/>
        </w:rPr>
      </w:pPr>
      <w:r w:rsidRPr="00A117E7">
        <w:rPr>
          <w:szCs w:val="24"/>
        </w:rPr>
        <w:t>Five minima are identified (Table 2 and Fig</w:t>
      </w:r>
      <w:r>
        <w:rPr>
          <w:szCs w:val="24"/>
        </w:rPr>
        <w:t>.</w:t>
      </w:r>
      <w:r w:rsidRPr="00A117E7">
        <w:rPr>
          <w:szCs w:val="24"/>
        </w:rPr>
        <w:t xml:space="preserve"> 3, Table S4 in SI)</w:t>
      </w:r>
      <w:r>
        <w:rPr>
          <w:szCs w:val="24"/>
        </w:rPr>
        <w:t xml:space="preserve"> in our free-energy simulations</w:t>
      </w:r>
      <w:r w:rsidRPr="00A117E7">
        <w:rPr>
          <w:szCs w:val="24"/>
        </w:rPr>
        <w:t xml:space="preserve">. </w:t>
      </w:r>
      <w:r>
        <w:rPr>
          <w:szCs w:val="24"/>
        </w:rPr>
        <w:t>M</w:t>
      </w:r>
      <w:r w:rsidRPr="00A117E7">
        <w:rPr>
          <w:szCs w:val="24"/>
        </w:rPr>
        <w:t xml:space="preserve"> 1 and 2 feature the lowest binding free energy ( −7.7 ± 0.8 kcal/mol and −6.1 ± 0.8 kcal/mol, respectively). These are consistent with the measured affinity (−6.9 kcal/mol</w:t>
      </w:r>
      <w:r w:rsidRPr="00A117E7">
        <w:rPr>
          <w:noProof/>
          <w:szCs w:val="24"/>
          <w:vertAlign w:val="superscript"/>
        </w:rPr>
        <w:t>11</w:t>
      </w:r>
      <w:r w:rsidRPr="00A117E7">
        <w:rPr>
          <w:szCs w:val="24"/>
        </w:rPr>
        <w:t>), within the following caveats: (</w:t>
      </w:r>
      <w:proofErr w:type="spellStart"/>
      <w:r w:rsidRPr="00A117E7">
        <w:rPr>
          <w:szCs w:val="24"/>
        </w:rPr>
        <w:t>i</w:t>
      </w:r>
      <w:proofErr w:type="spellEnd"/>
      <w:r w:rsidRPr="00A117E7">
        <w:rPr>
          <w:szCs w:val="24"/>
        </w:rPr>
        <w:t xml:space="preserve">) </w:t>
      </w:r>
      <w:r w:rsidRPr="00A117E7">
        <w:rPr>
          <w:b/>
          <w:szCs w:val="24"/>
        </w:rPr>
        <w:t xml:space="preserve">A </w:t>
      </w:r>
      <w:r w:rsidRPr="00A117E7">
        <w:rPr>
          <w:szCs w:val="24"/>
        </w:rPr>
        <w:t>destabilize the [2Fe</w:t>
      </w:r>
      <w:r w:rsidRPr="00A117E7">
        <w:rPr>
          <w:rFonts w:eastAsia="Times New Roman"/>
          <w:szCs w:val="24"/>
        </w:rPr>
        <w:t>–</w:t>
      </w:r>
      <w:r w:rsidRPr="00A117E7">
        <w:rPr>
          <w:szCs w:val="24"/>
        </w:rPr>
        <w:t xml:space="preserve">2S] clusters of </w:t>
      </w:r>
      <w:proofErr w:type="spellStart"/>
      <w:r w:rsidRPr="00A117E7">
        <w:rPr>
          <w:szCs w:val="24"/>
        </w:rPr>
        <w:t>mNT</w:t>
      </w:r>
      <w:proofErr w:type="spellEnd"/>
      <w:r w:rsidRPr="00A117E7">
        <w:rPr>
          <w:szCs w:val="24"/>
        </w:rPr>
        <w:t xml:space="preserve"> </w:t>
      </w:r>
      <w:r w:rsidRPr="00A117E7">
        <w:rPr>
          <w:i/>
          <w:iCs/>
          <w:szCs w:val="24"/>
        </w:rPr>
        <w:t>in vitro</w:t>
      </w:r>
      <w:r w:rsidRPr="00A117E7">
        <w:rPr>
          <w:szCs w:val="24"/>
        </w:rPr>
        <w:t xml:space="preserve"> and accelerate cluster release</w:t>
      </w:r>
      <w:r w:rsidRPr="00A117E7">
        <w:rPr>
          <w:noProof/>
          <w:szCs w:val="24"/>
          <w:vertAlign w:val="superscript"/>
        </w:rPr>
        <w:t>11</w:t>
      </w:r>
      <w:r>
        <w:rPr>
          <w:szCs w:val="24"/>
        </w:rPr>
        <w:t>:</w:t>
      </w:r>
      <w:r w:rsidRPr="00A117E7">
        <w:rPr>
          <w:szCs w:val="24"/>
        </w:rPr>
        <w:t xml:space="preserve"> </w:t>
      </w:r>
      <w:r>
        <w:rPr>
          <w:szCs w:val="24"/>
        </w:rPr>
        <w:t>t</w:t>
      </w:r>
      <w:r w:rsidRPr="00A117E7">
        <w:rPr>
          <w:szCs w:val="24"/>
        </w:rPr>
        <w:t>his phenomenon could affect the measurement; (ii) The temperature at which free energy has been measured (283 K) differs from that used for crystallization and in these simulations (293 K)</w:t>
      </w:r>
      <w:r w:rsidRPr="00A117E7">
        <w:rPr>
          <w:noProof/>
          <w:szCs w:val="24"/>
          <w:vertAlign w:val="superscript"/>
        </w:rPr>
        <w:t xml:space="preserve"> 11</w:t>
      </w:r>
      <w:r w:rsidRPr="00A117E7">
        <w:rPr>
          <w:szCs w:val="24"/>
        </w:rPr>
        <w:t>. As the cluster release is kinetically controlled</w:t>
      </w:r>
      <w:r w:rsidRPr="00A117E7">
        <w:rPr>
          <w:noProof/>
          <w:szCs w:val="24"/>
          <w:vertAlign w:val="superscript"/>
        </w:rPr>
        <w:t>7</w:t>
      </w:r>
      <w:r w:rsidRPr="00A117E7">
        <w:rPr>
          <w:szCs w:val="24"/>
        </w:rPr>
        <w:t>, here temperature difference could introduce energy inaccuracy</w:t>
      </w:r>
      <w:r>
        <w:rPr>
          <w:szCs w:val="24"/>
        </w:rPr>
        <w:t>.</w:t>
      </w:r>
    </w:p>
    <w:p w14:paraId="2597924B" w14:textId="77777777" w:rsidR="00FF380F" w:rsidRPr="000B68C1" w:rsidRDefault="00FF380F" w:rsidP="00633285">
      <w:pPr>
        <w:rPr>
          <w:rFonts w:ascii="Times New Roman" w:hAnsi="Times New Roman"/>
          <w:sz w:val="16"/>
          <w:szCs w:val="16"/>
        </w:rPr>
      </w:pPr>
    </w:p>
    <w:p w14:paraId="42D40D3B" w14:textId="77777777" w:rsidR="00FF380F" w:rsidRPr="000B68C1" w:rsidRDefault="00FF380F" w:rsidP="006040CA">
      <w:pPr>
        <w:jc w:val="center"/>
        <w:rPr>
          <w:rFonts w:ascii="Times New Roman" w:hAnsi="Times New Roman"/>
          <w:sz w:val="16"/>
          <w:szCs w:val="16"/>
        </w:rPr>
      </w:pPr>
      <w:r w:rsidRPr="000B68C1">
        <w:rPr>
          <w:rFonts w:ascii="Times New Roman" w:hAnsi="Times New Roman"/>
          <w:noProof/>
          <w:sz w:val="16"/>
          <w:szCs w:val="16"/>
        </w:rPr>
        <w:lastRenderedPageBreak/>
        <w:drawing>
          <wp:inline distT="0" distB="0" distL="0" distR="0" wp14:anchorId="0C07BA7D" wp14:editId="1F89FDE4">
            <wp:extent cx="5276850" cy="31527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850" cy="3152775"/>
                    </a:xfrm>
                    <a:prstGeom prst="rect">
                      <a:avLst/>
                    </a:prstGeom>
                    <a:noFill/>
                    <a:ln>
                      <a:noFill/>
                    </a:ln>
                  </pic:spPr>
                </pic:pic>
              </a:graphicData>
            </a:graphic>
          </wp:inline>
        </w:drawing>
      </w:r>
    </w:p>
    <w:p w14:paraId="5C0C5CEF" w14:textId="77777777" w:rsidR="00FF380F" w:rsidRPr="00654C9D" w:rsidRDefault="00FF380F" w:rsidP="006040CA">
      <w:pPr>
        <w:pStyle w:val="VAFigureCaption"/>
        <w:rPr>
          <w:sz w:val="21"/>
          <w:szCs w:val="21"/>
        </w:rPr>
      </w:pPr>
      <w:r w:rsidRPr="00654C9D">
        <w:rPr>
          <w:b/>
          <w:bCs/>
          <w:sz w:val="21"/>
          <w:szCs w:val="21"/>
        </w:rPr>
        <w:t xml:space="preserve">Figure 3. Free energy associated with A binding to </w:t>
      </w:r>
      <w:proofErr w:type="spellStart"/>
      <w:r w:rsidRPr="00654C9D">
        <w:rPr>
          <w:b/>
          <w:bCs/>
          <w:sz w:val="21"/>
          <w:szCs w:val="21"/>
        </w:rPr>
        <w:t>mNT</w:t>
      </w:r>
      <w:proofErr w:type="spellEnd"/>
      <w:r w:rsidRPr="00654C9D">
        <w:rPr>
          <w:b/>
          <w:bCs/>
          <w:sz w:val="21"/>
          <w:szCs w:val="21"/>
        </w:rPr>
        <w:t xml:space="preserve"> (complex I in Table. 1) plotted as a function of the distance between the centers of mass of the A and of the [2Fe</w:t>
      </w:r>
      <w:r w:rsidRPr="00654C9D">
        <w:rPr>
          <w:rFonts w:eastAsia="Times New Roman"/>
          <w:b/>
          <w:bCs/>
          <w:sz w:val="21"/>
          <w:szCs w:val="21"/>
        </w:rPr>
        <w:t>–</w:t>
      </w:r>
      <w:r w:rsidRPr="00654C9D">
        <w:rPr>
          <w:b/>
          <w:bCs/>
          <w:sz w:val="21"/>
          <w:szCs w:val="21"/>
        </w:rPr>
        <w:t>2S] cluster and the number of H-bonds/salt bridges at 293 K.</w:t>
      </w:r>
      <w:r w:rsidRPr="00654C9D">
        <w:rPr>
          <w:sz w:val="21"/>
          <w:szCs w:val="21"/>
        </w:rPr>
        <w:t xml:space="preserve"> The crystal binding pose is shown in the slate stick as a reference, while the representative binding poses are in orange. 1</w:t>
      </w:r>
      <w:r w:rsidRPr="00654C9D">
        <w:rPr>
          <w:rFonts w:eastAsia="Times New Roman"/>
          <w:sz w:val="21"/>
          <w:szCs w:val="21"/>
        </w:rPr>
        <w:t>–</w:t>
      </w:r>
      <w:r w:rsidRPr="00654C9D">
        <w:rPr>
          <w:sz w:val="21"/>
          <w:szCs w:val="21"/>
        </w:rPr>
        <w:t>5 are the five different binding poses, and U is an unbound state.</w:t>
      </w:r>
    </w:p>
    <w:p w14:paraId="6156281F" w14:textId="77777777" w:rsidR="00FF380F" w:rsidRPr="00654C9D" w:rsidRDefault="00FF380F" w:rsidP="00633285">
      <w:pPr>
        <w:rPr>
          <w:rFonts w:ascii="Times New Roman" w:hAnsi="Times New Roman"/>
          <w:sz w:val="21"/>
          <w:szCs w:val="21"/>
        </w:rPr>
      </w:pPr>
    </w:p>
    <w:p w14:paraId="414E0B4C" w14:textId="77777777" w:rsidR="00FF380F" w:rsidRPr="00654C9D" w:rsidRDefault="00FF380F" w:rsidP="006040CA">
      <w:pPr>
        <w:pStyle w:val="VDTableTitle"/>
        <w:rPr>
          <w:b/>
          <w:bCs/>
          <w:sz w:val="21"/>
          <w:szCs w:val="21"/>
        </w:rPr>
      </w:pPr>
      <w:r w:rsidRPr="00654C9D">
        <w:rPr>
          <w:rFonts w:hint="eastAsia"/>
          <w:b/>
          <w:bCs/>
          <w:sz w:val="21"/>
          <w:szCs w:val="21"/>
        </w:rPr>
        <w:t>T</w:t>
      </w:r>
      <w:r w:rsidRPr="00654C9D">
        <w:rPr>
          <w:b/>
          <w:bCs/>
          <w:sz w:val="21"/>
          <w:szCs w:val="21"/>
        </w:rPr>
        <w:t xml:space="preserve">able 2. Binding free energy associated with the formation of the I complex, as calculated from volume-based </w:t>
      </w:r>
      <w:proofErr w:type="spellStart"/>
      <w:r w:rsidRPr="00654C9D">
        <w:rPr>
          <w:b/>
          <w:bCs/>
          <w:sz w:val="21"/>
          <w:szCs w:val="21"/>
        </w:rPr>
        <w:t>metadynamics</w:t>
      </w:r>
      <w:proofErr w:type="spellEnd"/>
      <w:r w:rsidRPr="00654C9D">
        <w:rPr>
          <w:b/>
          <w:bCs/>
          <w:sz w:val="21"/>
          <w:szCs w:val="21"/>
        </w:rPr>
        <w:t xml:space="preserve"> at 293 K (</w:t>
      </w:r>
      <m:oMath>
        <m:r>
          <m:rPr>
            <m:sty m:val="bi"/>
          </m:rPr>
          <w:rPr>
            <w:rFonts w:ascii="Cambria Math" w:hAnsi="Cambria Math"/>
            <w:sz w:val="21"/>
            <w:szCs w:val="21"/>
          </w:rPr>
          <m:t>∆</m:t>
        </m:r>
        <m:sSubSup>
          <m:sSubSupPr>
            <m:ctrlPr>
              <w:rPr>
                <w:rFonts w:ascii="Cambria Math" w:hAnsi="Cambria Math"/>
                <w:b/>
                <w:bCs/>
                <w:i/>
                <w:sz w:val="21"/>
                <w:szCs w:val="21"/>
              </w:rPr>
            </m:ctrlPr>
          </m:sSubSupPr>
          <m:e>
            <m:r>
              <m:rPr>
                <m:sty m:val="bi"/>
              </m:rPr>
              <w:rPr>
                <w:rFonts w:ascii="Cambria Math" w:hAnsi="Cambria Math"/>
                <w:sz w:val="21"/>
                <w:szCs w:val="21"/>
              </w:rPr>
              <m:t>G</m:t>
            </m:r>
          </m:e>
          <m:sub>
            <m:r>
              <m:rPr>
                <m:sty m:val="bi"/>
              </m:rPr>
              <w:rPr>
                <w:rFonts w:ascii="Cambria Math" w:hAnsi="Cambria Math"/>
                <w:sz w:val="21"/>
                <w:szCs w:val="21"/>
              </w:rPr>
              <m:t>b</m:t>
            </m:r>
          </m:sub>
          <m:sup>
            <m:r>
              <m:rPr>
                <m:sty m:val="bi"/>
              </m:rPr>
              <w:rPr>
                <w:rFonts w:ascii="Cambria Math" w:hAnsi="Cambria Math"/>
                <w:sz w:val="21"/>
                <w:szCs w:val="21"/>
              </w:rPr>
              <m:t>0</m:t>
            </m:r>
          </m:sup>
        </m:sSubSup>
      </m:oMath>
      <w:r w:rsidRPr="00654C9D">
        <w:rPr>
          <w:rFonts w:hint="eastAsia"/>
          <w:b/>
          <w:bCs/>
          <w:sz w:val="21"/>
          <w:szCs w:val="21"/>
        </w:rPr>
        <w:t>,</w:t>
      </w:r>
      <w:r w:rsidRPr="00654C9D">
        <w:rPr>
          <w:b/>
          <w:bCs/>
          <w:sz w:val="21"/>
          <w:szCs w:val="21"/>
        </w:rPr>
        <w:t xml:space="preserve"> kcal/mol). The experimental value at 283 K</w:t>
      </w:r>
      <w:r w:rsidRPr="00654C9D">
        <w:rPr>
          <w:noProof/>
          <w:sz w:val="21"/>
          <w:szCs w:val="21"/>
          <w:vertAlign w:val="superscript"/>
        </w:rPr>
        <w:t>11</w:t>
      </w:r>
      <w:r w:rsidRPr="00654C9D">
        <w:rPr>
          <w:b/>
          <w:bCs/>
          <w:sz w:val="21"/>
          <w:szCs w:val="21"/>
        </w:rPr>
        <w:t xml:space="preserve"> is −6.9 kcal/mol</w:t>
      </w:r>
    </w:p>
    <w:tbl>
      <w:tblPr>
        <w:tblW w:w="0" w:type="auto"/>
        <w:jc w:val="center"/>
        <w:tblLook w:val="04A0" w:firstRow="1" w:lastRow="0" w:firstColumn="1" w:lastColumn="0" w:noHBand="0" w:noVBand="1"/>
      </w:tblPr>
      <w:tblGrid>
        <w:gridCol w:w="1570"/>
        <w:gridCol w:w="1663"/>
        <w:gridCol w:w="1653"/>
        <w:gridCol w:w="1650"/>
      </w:tblGrid>
      <w:tr w:rsidR="00FF380F" w:rsidRPr="00654C9D" w14:paraId="63DA42D5" w14:textId="77777777" w:rsidTr="001F19AE">
        <w:trPr>
          <w:jc w:val="center"/>
        </w:trPr>
        <w:tc>
          <w:tcPr>
            <w:tcW w:w="1570" w:type="dxa"/>
            <w:tcBorders>
              <w:top w:val="single" w:sz="4" w:space="0" w:color="auto"/>
              <w:bottom w:val="single" w:sz="4" w:space="0" w:color="auto"/>
            </w:tcBorders>
            <w:shd w:val="clear" w:color="auto" w:fill="auto"/>
            <w:vAlign w:val="center"/>
          </w:tcPr>
          <w:p w14:paraId="6A143ADF" w14:textId="77777777" w:rsidR="00FF380F" w:rsidRPr="00654C9D" w:rsidRDefault="00FF380F" w:rsidP="001F19AE">
            <w:pPr>
              <w:pStyle w:val="TCTableBody"/>
              <w:spacing w:after="0" w:line="360" w:lineRule="auto"/>
              <w:jc w:val="center"/>
              <w:rPr>
                <w:sz w:val="21"/>
                <w:szCs w:val="21"/>
              </w:rPr>
            </w:pPr>
            <w:r w:rsidRPr="00654C9D">
              <w:rPr>
                <w:sz w:val="21"/>
                <w:szCs w:val="21"/>
              </w:rPr>
              <w:t>Minimum</w:t>
            </w:r>
          </w:p>
        </w:tc>
        <w:tc>
          <w:tcPr>
            <w:tcW w:w="1663" w:type="dxa"/>
            <w:tcBorders>
              <w:top w:val="single" w:sz="4" w:space="0" w:color="auto"/>
              <w:bottom w:val="single" w:sz="4" w:space="0" w:color="auto"/>
            </w:tcBorders>
            <w:shd w:val="clear" w:color="auto" w:fill="auto"/>
            <w:vAlign w:val="center"/>
          </w:tcPr>
          <w:p w14:paraId="25237C2B" w14:textId="77777777" w:rsidR="00FF380F" w:rsidRPr="00654C9D" w:rsidRDefault="00FF380F" w:rsidP="001F19AE">
            <w:pPr>
              <w:pStyle w:val="TCTableBody"/>
              <w:spacing w:after="0" w:line="360" w:lineRule="auto"/>
              <w:jc w:val="center"/>
              <w:rPr>
                <w:sz w:val="21"/>
                <w:szCs w:val="21"/>
              </w:rPr>
            </w:pPr>
            <m:oMathPara>
              <m:oMath>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G</m:t>
                    </m:r>
                  </m:e>
                  <m:sub>
                    <m:r>
                      <w:rPr>
                        <w:rFonts w:ascii="Cambria Math" w:hAnsi="Cambria Math"/>
                        <w:sz w:val="21"/>
                        <w:szCs w:val="21"/>
                      </w:rPr>
                      <m:t>Metad</m:t>
                    </m:r>
                  </m:sub>
                </m:sSub>
              </m:oMath>
            </m:oMathPara>
          </w:p>
        </w:tc>
        <w:tc>
          <w:tcPr>
            <w:tcW w:w="1653" w:type="dxa"/>
            <w:tcBorders>
              <w:top w:val="single" w:sz="4" w:space="0" w:color="auto"/>
              <w:bottom w:val="single" w:sz="4" w:space="0" w:color="auto"/>
            </w:tcBorders>
            <w:shd w:val="clear" w:color="auto" w:fill="auto"/>
            <w:vAlign w:val="center"/>
          </w:tcPr>
          <w:p w14:paraId="5D5F3A76" w14:textId="77777777" w:rsidR="00FF380F" w:rsidRPr="00654C9D" w:rsidRDefault="00FF380F" w:rsidP="001F19AE">
            <w:pPr>
              <w:pStyle w:val="TCTableBody"/>
              <w:spacing w:after="0" w:line="360" w:lineRule="auto"/>
              <w:jc w:val="center"/>
              <w:rPr>
                <w:sz w:val="21"/>
                <w:szCs w:val="21"/>
              </w:rPr>
            </w:pPr>
            <m:oMathPara>
              <m:oMath>
                <m:r>
                  <w:rPr>
                    <w:rFonts w:ascii="Cambria Math" w:hAnsi="Cambria Math"/>
                    <w:sz w:val="21"/>
                    <w:szCs w:val="21"/>
                  </w:rPr>
                  <m:t>-T∆S</m:t>
                </m:r>
              </m:oMath>
            </m:oMathPara>
          </w:p>
        </w:tc>
        <w:tc>
          <w:tcPr>
            <w:tcW w:w="1650" w:type="dxa"/>
            <w:tcBorders>
              <w:top w:val="single" w:sz="4" w:space="0" w:color="auto"/>
              <w:bottom w:val="single" w:sz="4" w:space="0" w:color="auto"/>
            </w:tcBorders>
            <w:shd w:val="clear" w:color="auto" w:fill="auto"/>
            <w:vAlign w:val="center"/>
          </w:tcPr>
          <w:p w14:paraId="2952AD97" w14:textId="77777777" w:rsidR="00FF380F" w:rsidRPr="00654C9D" w:rsidRDefault="00FF380F" w:rsidP="001F19AE">
            <w:pPr>
              <w:pStyle w:val="TCTableBody"/>
              <w:spacing w:after="0" w:line="360" w:lineRule="auto"/>
              <w:jc w:val="center"/>
              <w:rPr>
                <w:sz w:val="21"/>
                <w:szCs w:val="21"/>
              </w:rPr>
            </w:pPr>
            <m:oMathPara>
              <m:oMath>
                <m:r>
                  <w:rPr>
                    <w:rFonts w:ascii="Cambria Math" w:hAnsi="Cambria Math"/>
                    <w:sz w:val="21"/>
                    <w:szCs w:val="21"/>
                  </w:rPr>
                  <m:t>∆</m:t>
                </m:r>
                <m:sSubSup>
                  <m:sSubSupPr>
                    <m:ctrlPr>
                      <w:rPr>
                        <w:rFonts w:ascii="Cambria Math" w:hAnsi="Cambria Math"/>
                        <w:i/>
                        <w:sz w:val="21"/>
                        <w:szCs w:val="21"/>
                      </w:rPr>
                    </m:ctrlPr>
                  </m:sSubSupPr>
                  <m:e>
                    <m:r>
                      <w:rPr>
                        <w:rFonts w:ascii="Cambria Math" w:hAnsi="Cambria Math"/>
                        <w:sz w:val="21"/>
                        <w:szCs w:val="21"/>
                      </w:rPr>
                      <m:t>G</m:t>
                    </m:r>
                  </m:e>
                  <m:sub>
                    <m:r>
                      <w:rPr>
                        <w:rFonts w:ascii="Cambria Math" w:hAnsi="Cambria Math"/>
                        <w:sz w:val="21"/>
                        <w:szCs w:val="21"/>
                      </w:rPr>
                      <m:t>b</m:t>
                    </m:r>
                  </m:sub>
                  <m:sup>
                    <m:r>
                      <w:rPr>
                        <w:rFonts w:ascii="Cambria Math" w:hAnsi="Cambria Math"/>
                        <w:sz w:val="21"/>
                        <w:szCs w:val="21"/>
                      </w:rPr>
                      <m:t>0</m:t>
                    </m:r>
                  </m:sup>
                </m:sSubSup>
              </m:oMath>
            </m:oMathPara>
          </w:p>
        </w:tc>
      </w:tr>
      <w:tr w:rsidR="00FF380F" w:rsidRPr="00654C9D" w14:paraId="17103AB8" w14:textId="77777777" w:rsidTr="001F19AE">
        <w:trPr>
          <w:jc w:val="center"/>
        </w:trPr>
        <w:tc>
          <w:tcPr>
            <w:tcW w:w="1570" w:type="dxa"/>
            <w:tcBorders>
              <w:top w:val="single" w:sz="4" w:space="0" w:color="auto"/>
            </w:tcBorders>
            <w:shd w:val="clear" w:color="auto" w:fill="auto"/>
            <w:vAlign w:val="center"/>
          </w:tcPr>
          <w:p w14:paraId="4742E26F" w14:textId="77777777" w:rsidR="00FF380F" w:rsidRPr="00654C9D" w:rsidRDefault="00FF380F" w:rsidP="001F19AE">
            <w:pPr>
              <w:pStyle w:val="TCTableBody"/>
              <w:spacing w:after="0" w:line="360" w:lineRule="auto"/>
              <w:jc w:val="center"/>
              <w:rPr>
                <w:sz w:val="21"/>
                <w:szCs w:val="21"/>
              </w:rPr>
            </w:pPr>
            <w:r w:rsidRPr="00654C9D">
              <w:rPr>
                <w:sz w:val="21"/>
                <w:szCs w:val="21"/>
              </w:rPr>
              <w:t>1</w:t>
            </w:r>
          </w:p>
        </w:tc>
        <w:tc>
          <w:tcPr>
            <w:tcW w:w="1663" w:type="dxa"/>
            <w:tcBorders>
              <w:top w:val="single" w:sz="4" w:space="0" w:color="auto"/>
            </w:tcBorders>
            <w:shd w:val="clear" w:color="auto" w:fill="auto"/>
            <w:vAlign w:val="center"/>
          </w:tcPr>
          <w:p w14:paraId="6BF59C3B" w14:textId="77777777" w:rsidR="00FF380F" w:rsidRPr="00654C9D" w:rsidRDefault="00FF380F" w:rsidP="001F19AE">
            <w:pPr>
              <w:pStyle w:val="TCTableBody"/>
              <w:spacing w:after="0" w:line="360" w:lineRule="auto"/>
              <w:jc w:val="center"/>
              <w:rPr>
                <w:sz w:val="21"/>
                <w:szCs w:val="21"/>
              </w:rPr>
            </w:pPr>
            <w:r w:rsidRPr="00654C9D">
              <w:rPr>
                <w:sz w:val="21"/>
                <w:szCs w:val="21"/>
              </w:rPr>
              <w:t>−5.5</w:t>
            </w:r>
          </w:p>
        </w:tc>
        <w:tc>
          <w:tcPr>
            <w:tcW w:w="1653" w:type="dxa"/>
            <w:tcBorders>
              <w:top w:val="single" w:sz="4" w:space="0" w:color="auto"/>
            </w:tcBorders>
            <w:shd w:val="clear" w:color="auto" w:fill="auto"/>
            <w:vAlign w:val="center"/>
          </w:tcPr>
          <w:p w14:paraId="48777074" w14:textId="77777777" w:rsidR="00FF380F" w:rsidRPr="00654C9D" w:rsidRDefault="00FF380F" w:rsidP="001F19AE">
            <w:pPr>
              <w:pStyle w:val="TCTableBody"/>
              <w:spacing w:after="0" w:line="360" w:lineRule="auto"/>
              <w:jc w:val="center"/>
              <w:rPr>
                <w:sz w:val="21"/>
                <w:szCs w:val="21"/>
              </w:rPr>
            </w:pPr>
            <w:r w:rsidRPr="00654C9D">
              <w:rPr>
                <w:sz w:val="21"/>
                <w:szCs w:val="21"/>
              </w:rPr>
              <w:t>−2.2</w:t>
            </w:r>
          </w:p>
        </w:tc>
        <w:tc>
          <w:tcPr>
            <w:tcW w:w="1650" w:type="dxa"/>
            <w:tcBorders>
              <w:top w:val="single" w:sz="4" w:space="0" w:color="auto"/>
            </w:tcBorders>
            <w:shd w:val="clear" w:color="auto" w:fill="auto"/>
            <w:vAlign w:val="center"/>
          </w:tcPr>
          <w:p w14:paraId="2921F712" w14:textId="77777777" w:rsidR="00FF380F" w:rsidRPr="00654C9D" w:rsidRDefault="00FF380F" w:rsidP="001F19AE">
            <w:pPr>
              <w:pStyle w:val="TCTableBody"/>
              <w:spacing w:after="0" w:line="360" w:lineRule="auto"/>
              <w:jc w:val="center"/>
              <w:rPr>
                <w:sz w:val="21"/>
                <w:szCs w:val="21"/>
              </w:rPr>
            </w:pPr>
            <w:bookmarkStart w:id="8" w:name="_Hlk101714233"/>
            <w:r w:rsidRPr="00654C9D">
              <w:rPr>
                <w:sz w:val="21"/>
                <w:szCs w:val="21"/>
              </w:rPr>
              <w:t>−7.7 ± 0.8</w:t>
            </w:r>
            <w:bookmarkEnd w:id="8"/>
          </w:p>
        </w:tc>
      </w:tr>
      <w:tr w:rsidR="00FF380F" w:rsidRPr="00654C9D" w14:paraId="05451A9F" w14:textId="77777777" w:rsidTr="001F19AE">
        <w:trPr>
          <w:jc w:val="center"/>
        </w:trPr>
        <w:tc>
          <w:tcPr>
            <w:tcW w:w="1570" w:type="dxa"/>
            <w:shd w:val="clear" w:color="auto" w:fill="auto"/>
            <w:vAlign w:val="center"/>
          </w:tcPr>
          <w:p w14:paraId="64A95BC4" w14:textId="77777777" w:rsidR="00FF380F" w:rsidRPr="00654C9D" w:rsidRDefault="00FF380F" w:rsidP="001F19AE">
            <w:pPr>
              <w:pStyle w:val="TCTableBody"/>
              <w:spacing w:after="0" w:line="360" w:lineRule="auto"/>
              <w:jc w:val="center"/>
              <w:rPr>
                <w:sz w:val="21"/>
                <w:szCs w:val="21"/>
              </w:rPr>
            </w:pPr>
            <w:r w:rsidRPr="00654C9D">
              <w:rPr>
                <w:sz w:val="21"/>
                <w:szCs w:val="21"/>
              </w:rPr>
              <w:t>2</w:t>
            </w:r>
          </w:p>
        </w:tc>
        <w:tc>
          <w:tcPr>
            <w:tcW w:w="1663" w:type="dxa"/>
            <w:shd w:val="clear" w:color="auto" w:fill="auto"/>
            <w:vAlign w:val="center"/>
          </w:tcPr>
          <w:p w14:paraId="50324D83" w14:textId="77777777" w:rsidR="00FF380F" w:rsidRPr="00654C9D" w:rsidRDefault="00FF380F" w:rsidP="001F19AE">
            <w:pPr>
              <w:pStyle w:val="TCTableBody"/>
              <w:spacing w:after="0" w:line="360" w:lineRule="auto"/>
              <w:jc w:val="center"/>
              <w:rPr>
                <w:sz w:val="21"/>
                <w:szCs w:val="21"/>
              </w:rPr>
            </w:pPr>
            <w:r w:rsidRPr="00654C9D">
              <w:rPr>
                <w:sz w:val="21"/>
                <w:szCs w:val="21"/>
              </w:rPr>
              <w:t>−3.9</w:t>
            </w:r>
          </w:p>
        </w:tc>
        <w:tc>
          <w:tcPr>
            <w:tcW w:w="1653" w:type="dxa"/>
            <w:shd w:val="clear" w:color="auto" w:fill="auto"/>
            <w:vAlign w:val="center"/>
          </w:tcPr>
          <w:p w14:paraId="34D4763A" w14:textId="77777777" w:rsidR="00FF380F" w:rsidRPr="00654C9D" w:rsidRDefault="00FF380F" w:rsidP="001F19AE">
            <w:pPr>
              <w:pStyle w:val="TCTableBody"/>
              <w:spacing w:after="0" w:line="360" w:lineRule="auto"/>
              <w:jc w:val="center"/>
              <w:rPr>
                <w:sz w:val="21"/>
                <w:szCs w:val="21"/>
              </w:rPr>
            </w:pPr>
            <w:r w:rsidRPr="00654C9D">
              <w:rPr>
                <w:sz w:val="21"/>
                <w:szCs w:val="21"/>
              </w:rPr>
              <w:t>−2.2</w:t>
            </w:r>
          </w:p>
        </w:tc>
        <w:tc>
          <w:tcPr>
            <w:tcW w:w="1650" w:type="dxa"/>
            <w:shd w:val="clear" w:color="auto" w:fill="auto"/>
            <w:vAlign w:val="center"/>
          </w:tcPr>
          <w:p w14:paraId="55C86E87" w14:textId="77777777" w:rsidR="00FF380F" w:rsidRPr="00654C9D" w:rsidRDefault="00FF380F" w:rsidP="001F19AE">
            <w:pPr>
              <w:pStyle w:val="TCTableBody"/>
              <w:spacing w:after="0" w:line="360" w:lineRule="auto"/>
              <w:jc w:val="center"/>
              <w:rPr>
                <w:sz w:val="21"/>
                <w:szCs w:val="21"/>
              </w:rPr>
            </w:pPr>
            <w:r w:rsidRPr="00654C9D">
              <w:rPr>
                <w:sz w:val="21"/>
                <w:szCs w:val="21"/>
              </w:rPr>
              <w:t>−6.1 ± 0.8</w:t>
            </w:r>
          </w:p>
        </w:tc>
      </w:tr>
      <w:tr w:rsidR="00FF380F" w:rsidRPr="00654C9D" w14:paraId="1DC9A254" w14:textId="77777777" w:rsidTr="001F19AE">
        <w:trPr>
          <w:jc w:val="center"/>
        </w:trPr>
        <w:tc>
          <w:tcPr>
            <w:tcW w:w="1570" w:type="dxa"/>
            <w:shd w:val="clear" w:color="auto" w:fill="auto"/>
            <w:vAlign w:val="center"/>
          </w:tcPr>
          <w:p w14:paraId="471AF69D" w14:textId="77777777" w:rsidR="00FF380F" w:rsidRPr="00654C9D" w:rsidRDefault="00FF380F" w:rsidP="001F19AE">
            <w:pPr>
              <w:pStyle w:val="TCTableBody"/>
              <w:spacing w:after="0" w:line="360" w:lineRule="auto"/>
              <w:jc w:val="center"/>
              <w:rPr>
                <w:sz w:val="21"/>
                <w:szCs w:val="21"/>
              </w:rPr>
            </w:pPr>
            <w:r w:rsidRPr="00654C9D">
              <w:rPr>
                <w:rFonts w:hint="eastAsia"/>
                <w:sz w:val="21"/>
                <w:szCs w:val="21"/>
              </w:rPr>
              <w:t>3</w:t>
            </w:r>
          </w:p>
        </w:tc>
        <w:tc>
          <w:tcPr>
            <w:tcW w:w="1663" w:type="dxa"/>
            <w:shd w:val="clear" w:color="auto" w:fill="auto"/>
            <w:vAlign w:val="center"/>
          </w:tcPr>
          <w:p w14:paraId="7073CF5B" w14:textId="77777777" w:rsidR="00FF380F" w:rsidRPr="00654C9D" w:rsidRDefault="00FF380F" w:rsidP="001F19AE">
            <w:pPr>
              <w:pStyle w:val="TCTableBody"/>
              <w:spacing w:after="0" w:line="360" w:lineRule="auto"/>
              <w:jc w:val="center"/>
              <w:rPr>
                <w:sz w:val="21"/>
                <w:szCs w:val="21"/>
              </w:rPr>
            </w:pPr>
            <w:r w:rsidRPr="00654C9D">
              <w:rPr>
                <w:sz w:val="21"/>
                <w:szCs w:val="21"/>
              </w:rPr>
              <w:t>−</w:t>
            </w:r>
            <w:r w:rsidRPr="00654C9D">
              <w:rPr>
                <w:rFonts w:hint="eastAsia"/>
                <w:sz w:val="21"/>
                <w:szCs w:val="21"/>
              </w:rPr>
              <w:t>2</w:t>
            </w:r>
            <w:r w:rsidRPr="00654C9D">
              <w:rPr>
                <w:sz w:val="21"/>
                <w:szCs w:val="21"/>
              </w:rPr>
              <w:t>.2</w:t>
            </w:r>
          </w:p>
        </w:tc>
        <w:tc>
          <w:tcPr>
            <w:tcW w:w="1653" w:type="dxa"/>
            <w:shd w:val="clear" w:color="auto" w:fill="auto"/>
            <w:vAlign w:val="center"/>
          </w:tcPr>
          <w:p w14:paraId="25E6CC99" w14:textId="77777777" w:rsidR="00FF380F" w:rsidRPr="00654C9D" w:rsidRDefault="00FF380F" w:rsidP="001F19AE">
            <w:pPr>
              <w:pStyle w:val="TCTableBody"/>
              <w:spacing w:after="0" w:line="360" w:lineRule="auto"/>
              <w:jc w:val="center"/>
              <w:rPr>
                <w:sz w:val="21"/>
                <w:szCs w:val="21"/>
              </w:rPr>
            </w:pPr>
            <w:r w:rsidRPr="00654C9D">
              <w:rPr>
                <w:sz w:val="21"/>
                <w:szCs w:val="21"/>
              </w:rPr>
              <w:t>−</w:t>
            </w:r>
            <w:r w:rsidRPr="00654C9D">
              <w:rPr>
                <w:rFonts w:hint="eastAsia"/>
                <w:sz w:val="21"/>
                <w:szCs w:val="21"/>
              </w:rPr>
              <w:t>2</w:t>
            </w:r>
            <w:r w:rsidRPr="00654C9D">
              <w:rPr>
                <w:sz w:val="21"/>
                <w:szCs w:val="21"/>
              </w:rPr>
              <w:t>.2</w:t>
            </w:r>
          </w:p>
        </w:tc>
        <w:tc>
          <w:tcPr>
            <w:tcW w:w="1650" w:type="dxa"/>
            <w:shd w:val="clear" w:color="auto" w:fill="auto"/>
            <w:vAlign w:val="center"/>
          </w:tcPr>
          <w:p w14:paraId="2243CAD9" w14:textId="77777777" w:rsidR="00FF380F" w:rsidRPr="00654C9D" w:rsidRDefault="00FF380F" w:rsidP="001F19AE">
            <w:pPr>
              <w:pStyle w:val="TCTableBody"/>
              <w:spacing w:after="0" w:line="360" w:lineRule="auto"/>
              <w:jc w:val="center"/>
              <w:rPr>
                <w:sz w:val="21"/>
                <w:szCs w:val="21"/>
              </w:rPr>
            </w:pPr>
            <w:r w:rsidRPr="00654C9D">
              <w:rPr>
                <w:sz w:val="21"/>
                <w:szCs w:val="21"/>
              </w:rPr>
              <w:t>−</w:t>
            </w:r>
            <w:r w:rsidRPr="00654C9D">
              <w:rPr>
                <w:rFonts w:hint="eastAsia"/>
                <w:sz w:val="21"/>
                <w:szCs w:val="21"/>
              </w:rPr>
              <w:t>4</w:t>
            </w:r>
            <w:r w:rsidRPr="00654C9D">
              <w:rPr>
                <w:sz w:val="21"/>
                <w:szCs w:val="21"/>
              </w:rPr>
              <w:t>.4 ± 0.8</w:t>
            </w:r>
          </w:p>
        </w:tc>
      </w:tr>
      <w:tr w:rsidR="00FF380F" w:rsidRPr="00654C9D" w14:paraId="31C1CB22" w14:textId="77777777" w:rsidTr="001F19AE">
        <w:trPr>
          <w:jc w:val="center"/>
        </w:trPr>
        <w:tc>
          <w:tcPr>
            <w:tcW w:w="1570" w:type="dxa"/>
            <w:shd w:val="clear" w:color="auto" w:fill="auto"/>
            <w:vAlign w:val="center"/>
          </w:tcPr>
          <w:p w14:paraId="5B652C88" w14:textId="77777777" w:rsidR="00FF380F" w:rsidRPr="00654C9D" w:rsidRDefault="00FF380F" w:rsidP="001F19AE">
            <w:pPr>
              <w:pStyle w:val="TCTableBody"/>
              <w:spacing w:after="0" w:line="360" w:lineRule="auto"/>
              <w:jc w:val="center"/>
              <w:rPr>
                <w:sz w:val="21"/>
                <w:szCs w:val="21"/>
              </w:rPr>
            </w:pPr>
            <w:r w:rsidRPr="00654C9D">
              <w:rPr>
                <w:rFonts w:hint="eastAsia"/>
                <w:sz w:val="21"/>
                <w:szCs w:val="21"/>
              </w:rPr>
              <w:t>4</w:t>
            </w:r>
          </w:p>
        </w:tc>
        <w:tc>
          <w:tcPr>
            <w:tcW w:w="1663" w:type="dxa"/>
            <w:shd w:val="clear" w:color="auto" w:fill="auto"/>
            <w:vAlign w:val="center"/>
          </w:tcPr>
          <w:p w14:paraId="536A4A34" w14:textId="77777777" w:rsidR="00FF380F" w:rsidRPr="00654C9D" w:rsidRDefault="00FF380F" w:rsidP="001F19AE">
            <w:pPr>
              <w:pStyle w:val="TCTableBody"/>
              <w:spacing w:after="0" w:line="360" w:lineRule="auto"/>
              <w:jc w:val="center"/>
              <w:rPr>
                <w:sz w:val="21"/>
                <w:szCs w:val="21"/>
              </w:rPr>
            </w:pPr>
            <w:r w:rsidRPr="00654C9D">
              <w:rPr>
                <w:sz w:val="21"/>
                <w:szCs w:val="21"/>
              </w:rPr>
              <w:t>−</w:t>
            </w:r>
            <w:r w:rsidRPr="00654C9D">
              <w:rPr>
                <w:rFonts w:hint="eastAsia"/>
                <w:sz w:val="21"/>
                <w:szCs w:val="21"/>
              </w:rPr>
              <w:t>1</w:t>
            </w:r>
            <w:r w:rsidRPr="00654C9D">
              <w:rPr>
                <w:sz w:val="21"/>
                <w:szCs w:val="21"/>
              </w:rPr>
              <w:t>.0</w:t>
            </w:r>
          </w:p>
        </w:tc>
        <w:tc>
          <w:tcPr>
            <w:tcW w:w="1653" w:type="dxa"/>
            <w:shd w:val="clear" w:color="auto" w:fill="auto"/>
            <w:vAlign w:val="center"/>
          </w:tcPr>
          <w:p w14:paraId="2FAD7CD7" w14:textId="77777777" w:rsidR="00FF380F" w:rsidRPr="00654C9D" w:rsidRDefault="00FF380F" w:rsidP="001F19AE">
            <w:pPr>
              <w:pStyle w:val="TCTableBody"/>
              <w:spacing w:after="0" w:line="360" w:lineRule="auto"/>
              <w:jc w:val="center"/>
              <w:rPr>
                <w:sz w:val="21"/>
                <w:szCs w:val="21"/>
              </w:rPr>
            </w:pPr>
            <w:r w:rsidRPr="00654C9D">
              <w:rPr>
                <w:sz w:val="21"/>
                <w:szCs w:val="21"/>
              </w:rPr>
              <w:t>−</w:t>
            </w:r>
            <w:r w:rsidRPr="00654C9D">
              <w:rPr>
                <w:rFonts w:hint="eastAsia"/>
                <w:sz w:val="21"/>
                <w:szCs w:val="21"/>
              </w:rPr>
              <w:t>2</w:t>
            </w:r>
            <w:r w:rsidRPr="00654C9D">
              <w:rPr>
                <w:sz w:val="21"/>
                <w:szCs w:val="21"/>
              </w:rPr>
              <w:t>.2</w:t>
            </w:r>
          </w:p>
        </w:tc>
        <w:tc>
          <w:tcPr>
            <w:tcW w:w="1650" w:type="dxa"/>
            <w:shd w:val="clear" w:color="auto" w:fill="auto"/>
            <w:vAlign w:val="center"/>
          </w:tcPr>
          <w:p w14:paraId="2D9B16AE" w14:textId="77777777" w:rsidR="00FF380F" w:rsidRPr="00654C9D" w:rsidRDefault="00FF380F" w:rsidP="001F19AE">
            <w:pPr>
              <w:pStyle w:val="TCTableBody"/>
              <w:spacing w:after="0" w:line="360" w:lineRule="auto"/>
              <w:jc w:val="center"/>
              <w:rPr>
                <w:sz w:val="21"/>
                <w:szCs w:val="21"/>
              </w:rPr>
            </w:pPr>
            <w:r w:rsidRPr="00654C9D">
              <w:rPr>
                <w:sz w:val="21"/>
                <w:szCs w:val="21"/>
              </w:rPr>
              <w:t>−</w:t>
            </w:r>
            <w:r w:rsidRPr="00654C9D">
              <w:rPr>
                <w:rFonts w:hint="eastAsia"/>
                <w:sz w:val="21"/>
                <w:szCs w:val="21"/>
              </w:rPr>
              <w:t>3</w:t>
            </w:r>
            <w:r w:rsidRPr="00654C9D">
              <w:rPr>
                <w:sz w:val="21"/>
                <w:szCs w:val="21"/>
              </w:rPr>
              <w:t>.2 ± 0.8</w:t>
            </w:r>
          </w:p>
        </w:tc>
      </w:tr>
      <w:tr w:rsidR="00FF380F" w:rsidRPr="00654C9D" w14:paraId="5A712FC9" w14:textId="77777777" w:rsidTr="001F19AE">
        <w:trPr>
          <w:jc w:val="center"/>
        </w:trPr>
        <w:tc>
          <w:tcPr>
            <w:tcW w:w="1570" w:type="dxa"/>
            <w:tcBorders>
              <w:bottom w:val="single" w:sz="4" w:space="0" w:color="auto"/>
            </w:tcBorders>
            <w:shd w:val="clear" w:color="auto" w:fill="auto"/>
            <w:vAlign w:val="center"/>
          </w:tcPr>
          <w:p w14:paraId="729A9A7C" w14:textId="77777777" w:rsidR="00FF380F" w:rsidRPr="00654C9D" w:rsidRDefault="00FF380F" w:rsidP="001F19AE">
            <w:pPr>
              <w:pStyle w:val="TCTableBody"/>
              <w:spacing w:after="0" w:line="360" w:lineRule="auto"/>
              <w:jc w:val="center"/>
              <w:rPr>
                <w:sz w:val="21"/>
                <w:szCs w:val="21"/>
              </w:rPr>
            </w:pPr>
            <w:r w:rsidRPr="00654C9D">
              <w:rPr>
                <w:rFonts w:hint="eastAsia"/>
                <w:sz w:val="21"/>
                <w:szCs w:val="21"/>
              </w:rPr>
              <w:t>5</w:t>
            </w:r>
          </w:p>
        </w:tc>
        <w:tc>
          <w:tcPr>
            <w:tcW w:w="1663" w:type="dxa"/>
            <w:tcBorders>
              <w:bottom w:val="single" w:sz="4" w:space="0" w:color="auto"/>
            </w:tcBorders>
            <w:shd w:val="clear" w:color="auto" w:fill="auto"/>
            <w:vAlign w:val="center"/>
          </w:tcPr>
          <w:p w14:paraId="30257DA9" w14:textId="77777777" w:rsidR="00FF380F" w:rsidRPr="00654C9D" w:rsidRDefault="00FF380F" w:rsidP="001F19AE">
            <w:pPr>
              <w:pStyle w:val="TCTableBody"/>
              <w:spacing w:after="0" w:line="360" w:lineRule="auto"/>
              <w:jc w:val="center"/>
              <w:rPr>
                <w:sz w:val="21"/>
                <w:szCs w:val="21"/>
              </w:rPr>
            </w:pPr>
            <w:r w:rsidRPr="00654C9D">
              <w:rPr>
                <w:sz w:val="21"/>
                <w:szCs w:val="21"/>
              </w:rPr>
              <w:t>−</w:t>
            </w:r>
            <w:r w:rsidRPr="00654C9D">
              <w:rPr>
                <w:rFonts w:hint="eastAsia"/>
                <w:sz w:val="21"/>
                <w:szCs w:val="21"/>
              </w:rPr>
              <w:t>0</w:t>
            </w:r>
            <w:r w:rsidRPr="00654C9D">
              <w:rPr>
                <w:sz w:val="21"/>
                <w:szCs w:val="21"/>
              </w:rPr>
              <w:t>.9</w:t>
            </w:r>
          </w:p>
        </w:tc>
        <w:tc>
          <w:tcPr>
            <w:tcW w:w="1653" w:type="dxa"/>
            <w:tcBorders>
              <w:bottom w:val="single" w:sz="4" w:space="0" w:color="auto"/>
            </w:tcBorders>
            <w:shd w:val="clear" w:color="auto" w:fill="auto"/>
            <w:vAlign w:val="center"/>
          </w:tcPr>
          <w:p w14:paraId="2952848D" w14:textId="77777777" w:rsidR="00FF380F" w:rsidRPr="00654C9D" w:rsidRDefault="00FF380F" w:rsidP="001F19AE">
            <w:pPr>
              <w:pStyle w:val="TCTableBody"/>
              <w:spacing w:after="0" w:line="360" w:lineRule="auto"/>
              <w:jc w:val="center"/>
              <w:rPr>
                <w:sz w:val="21"/>
                <w:szCs w:val="21"/>
              </w:rPr>
            </w:pPr>
            <w:r w:rsidRPr="00654C9D">
              <w:rPr>
                <w:sz w:val="21"/>
                <w:szCs w:val="21"/>
              </w:rPr>
              <w:t>−</w:t>
            </w:r>
            <w:r w:rsidRPr="00654C9D">
              <w:rPr>
                <w:rFonts w:hint="eastAsia"/>
                <w:sz w:val="21"/>
                <w:szCs w:val="21"/>
              </w:rPr>
              <w:t>2</w:t>
            </w:r>
            <w:r w:rsidRPr="00654C9D">
              <w:rPr>
                <w:sz w:val="21"/>
                <w:szCs w:val="21"/>
              </w:rPr>
              <w:t>.2</w:t>
            </w:r>
          </w:p>
        </w:tc>
        <w:tc>
          <w:tcPr>
            <w:tcW w:w="1650" w:type="dxa"/>
            <w:tcBorders>
              <w:bottom w:val="single" w:sz="4" w:space="0" w:color="auto"/>
            </w:tcBorders>
            <w:shd w:val="clear" w:color="auto" w:fill="auto"/>
            <w:vAlign w:val="center"/>
          </w:tcPr>
          <w:p w14:paraId="5DB3EBFD" w14:textId="77777777" w:rsidR="00FF380F" w:rsidRPr="00654C9D" w:rsidRDefault="00FF380F" w:rsidP="001F19AE">
            <w:pPr>
              <w:pStyle w:val="TCTableBody"/>
              <w:spacing w:after="0" w:line="360" w:lineRule="auto"/>
              <w:jc w:val="center"/>
              <w:rPr>
                <w:sz w:val="21"/>
                <w:szCs w:val="21"/>
              </w:rPr>
            </w:pPr>
            <w:r w:rsidRPr="00654C9D">
              <w:rPr>
                <w:sz w:val="21"/>
                <w:szCs w:val="21"/>
              </w:rPr>
              <w:t>−</w:t>
            </w:r>
            <w:r w:rsidRPr="00654C9D">
              <w:rPr>
                <w:rFonts w:hint="eastAsia"/>
                <w:sz w:val="21"/>
                <w:szCs w:val="21"/>
              </w:rPr>
              <w:t>3</w:t>
            </w:r>
            <w:r w:rsidRPr="00654C9D">
              <w:rPr>
                <w:sz w:val="21"/>
                <w:szCs w:val="21"/>
              </w:rPr>
              <w:t>.1 ± 0.8</w:t>
            </w:r>
          </w:p>
        </w:tc>
      </w:tr>
    </w:tbl>
    <w:p w14:paraId="43431AEB" w14:textId="77777777" w:rsidR="00FF380F" w:rsidRPr="001F19AE" w:rsidRDefault="00FF380F" w:rsidP="001F19AE">
      <w:pPr>
        <w:rPr>
          <w:rFonts w:ascii="Times New Roman" w:hAnsi="Times New Roman"/>
          <w:sz w:val="16"/>
          <w:szCs w:val="16"/>
        </w:rPr>
      </w:pPr>
    </w:p>
    <w:p w14:paraId="006C8E9A" w14:textId="77777777" w:rsidR="00FF380F" w:rsidRPr="00654C9D" w:rsidRDefault="00FF380F" w:rsidP="006040CA">
      <w:pPr>
        <w:pStyle w:val="TAMainText"/>
        <w:rPr>
          <w:szCs w:val="24"/>
        </w:rPr>
      </w:pPr>
      <w:r w:rsidRPr="00654C9D">
        <w:rPr>
          <w:szCs w:val="24"/>
        </w:rPr>
        <w:lastRenderedPageBreak/>
        <w:t xml:space="preserve">In these </w:t>
      </w:r>
      <w:r>
        <w:rPr>
          <w:szCs w:val="24"/>
        </w:rPr>
        <w:t xml:space="preserve">two low-energy </w:t>
      </w:r>
      <w:r w:rsidRPr="00654C9D">
        <w:rPr>
          <w:szCs w:val="24"/>
        </w:rPr>
        <w:t>minima, the ligand binds relatively close to the [2Fe</w:t>
      </w:r>
      <w:r w:rsidRPr="00654C9D">
        <w:rPr>
          <w:rFonts w:eastAsia="Times New Roman"/>
          <w:szCs w:val="24"/>
        </w:rPr>
        <w:t>–</w:t>
      </w:r>
      <w:r w:rsidRPr="00654C9D">
        <w:rPr>
          <w:szCs w:val="24"/>
        </w:rPr>
        <w:t>2S] cluster binding area, but the poses’ orientations differ from that of the X-ray structure. Specifically, in poses 1 (and 2), the ligand’s tetralin moiety forms hydrophobic interactions with Ala69, Val70, Phe82, and Cys83 (</w:t>
      </w:r>
      <w:r>
        <w:rPr>
          <w:szCs w:val="24"/>
        </w:rPr>
        <w:t xml:space="preserve">with </w:t>
      </w:r>
      <w:r w:rsidRPr="00654C9D">
        <w:rPr>
          <w:szCs w:val="24"/>
        </w:rPr>
        <w:t>Val70, Cys83, and Pro100), polar interactions with Lys68 (</w:t>
      </w:r>
      <w:r>
        <w:rPr>
          <w:szCs w:val="24"/>
        </w:rPr>
        <w:t xml:space="preserve">with </w:t>
      </w:r>
      <w:r w:rsidRPr="00654C9D">
        <w:rPr>
          <w:szCs w:val="24"/>
        </w:rPr>
        <w:t>Asp84 and Gly85). Its thiophene ring forms hydrophobic interactions with Pro100 (</w:t>
      </w:r>
      <w:r>
        <w:rPr>
          <w:szCs w:val="24"/>
        </w:rPr>
        <w:t xml:space="preserve">with </w:t>
      </w:r>
      <w:r w:rsidRPr="00654C9D">
        <w:rPr>
          <w:szCs w:val="24"/>
        </w:rPr>
        <w:t>Val57 and Ile102). The ligand phenyl ring interacts with Thr88 and Lys89 (</w:t>
      </w:r>
      <w:r>
        <w:rPr>
          <w:szCs w:val="24"/>
        </w:rPr>
        <w:t xml:space="preserve">with </w:t>
      </w:r>
      <w:r w:rsidRPr="00654C9D">
        <w:rPr>
          <w:szCs w:val="24"/>
        </w:rPr>
        <w:t>Asn53 and Pro54</w:t>
      </w:r>
      <w:r>
        <w:rPr>
          <w:szCs w:val="24"/>
        </w:rPr>
        <w:t>);</w:t>
      </w:r>
      <w:r w:rsidRPr="00654C9D">
        <w:rPr>
          <w:szCs w:val="24"/>
        </w:rPr>
        <w:t xml:space="preserve"> and the amide oxygen forms H-bonds with a water molecule, and the later interacts to His87 (</w:t>
      </w:r>
      <w:r>
        <w:rPr>
          <w:szCs w:val="24"/>
        </w:rPr>
        <w:t xml:space="preserve">to </w:t>
      </w:r>
      <w:r w:rsidRPr="00654C9D">
        <w:rPr>
          <w:szCs w:val="24"/>
        </w:rPr>
        <w:t>Val57) through an H-bond. Besides, the carboxylate group interacts with Asp84 by H-bonding with two water molecules (</w:t>
      </w:r>
      <w:r>
        <w:rPr>
          <w:szCs w:val="24"/>
        </w:rPr>
        <w:t xml:space="preserve">by </w:t>
      </w:r>
      <w:r w:rsidRPr="00654C9D">
        <w:rPr>
          <w:szCs w:val="24"/>
        </w:rPr>
        <w:t>form</w:t>
      </w:r>
      <w:r>
        <w:rPr>
          <w:szCs w:val="24"/>
        </w:rPr>
        <w:t>ing</w:t>
      </w:r>
      <w:r w:rsidRPr="00654C9D">
        <w:rPr>
          <w:szCs w:val="24"/>
        </w:rPr>
        <w:t xml:space="preserve"> salt bridges with Lys55 and water molecules) (see Fig</w:t>
      </w:r>
      <w:r>
        <w:rPr>
          <w:szCs w:val="24"/>
        </w:rPr>
        <w:t>.</w:t>
      </w:r>
      <w:r w:rsidRPr="00654C9D">
        <w:rPr>
          <w:szCs w:val="24"/>
        </w:rPr>
        <w:t xml:space="preserve"> 4A and B). </w:t>
      </w:r>
    </w:p>
    <w:p w14:paraId="5FA76CA1" w14:textId="77777777" w:rsidR="00FF380F" w:rsidRPr="000B68C1" w:rsidRDefault="00FF380F" w:rsidP="00D569C3">
      <w:pPr>
        <w:pStyle w:val="TAMainText"/>
        <w:rPr>
          <w:rFonts w:ascii="Times New Roman" w:hAnsi="Times New Roman"/>
          <w:sz w:val="16"/>
          <w:szCs w:val="16"/>
        </w:rPr>
      </w:pPr>
      <w:r w:rsidRPr="000B68C1">
        <w:rPr>
          <w:noProof/>
          <w:sz w:val="16"/>
          <w:szCs w:val="16"/>
        </w:rPr>
        <w:drawing>
          <wp:inline distT="0" distB="0" distL="0" distR="0" wp14:anchorId="0BDDDB50" wp14:editId="59334A7A">
            <wp:extent cx="5267325" cy="303847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3038475"/>
                    </a:xfrm>
                    <a:prstGeom prst="rect">
                      <a:avLst/>
                    </a:prstGeom>
                    <a:noFill/>
                    <a:ln>
                      <a:noFill/>
                    </a:ln>
                  </pic:spPr>
                </pic:pic>
              </a:graphicData>
            </a:graphic>
          </wp:inline>
        </w:drawing>
      </w:r>
    </w:p>
    <w:p w14:paraId="34FF4FA8" w14:textId="77777777" w:rsidR="00FF380F" w:rsidRPr="00CF5CB1" w:rsidRDefault="00FF380F" w:rsidP="001E0EBE">
      <w:pPr>
        <w:pStyle w:val="VAFigureCaption"/>
        <w:rPr>
          <w:b/>
          <w:bCs/>
          <w:sz w:val="21"/>
          <w:szCs w:val="21"/>
        </w:rPr>
      </w:pPr>
      <w:r w:rsidRPr="00CF5CB1">
        <w:rPr>
          <w:rFonts w:hint="eastAsia"/>
          <w:b/>
          <w:bCs/>
          <w:sz w:val="21"/>
          <w:szCs w:val="21"/>
        </w:rPr>
        <w:t>F</w:t>
      </w:r>
      <w:r w:rsidRPr="00CF5CB1">
        <w:rPr>
          <w:b/>
          <w:bCs/>
          <w:sz w:val="21"/>
          <w:szCs w:val="21"/>
        </w:rPr>
        <w:t xml:space="preserve">igure 4. The ligand-protein interaction diagrams of binding pose in Figure 3. </w:t>
      </w:r>
    </w:p>
    <w:p w14:paraId="419FA5F1" w14:textId="77777777" w:rsidR="00FF380F" w:rsidRPr="00CF5CB1" w:rsidRDefault="00FF380F" w:rsidP="006425CB">
      <w:pPr>
        <w:pStyle w:val="TAMainText"/>
        <w:rPr>
          <w:sz w:val="21"/>
          <w:szCs w:val="21"/>
        </w:rPr>
      </w:pPr>
      <w:r>
        <w:rPr>
          <w:szCs w:val="24"/>
        </w:rPr>
        <w:t>Next</w:t>
      </w:r>
      <w:r w:rsidRPr="00CF5CB1">
        <w:rPr>
          <w:szCs w:val="24"/>
        </w:rPr>
        <w:t xml:space="preserve"> poses 1 and 2 (Fig</w:t>
      </w:r>
      <w:r>
        <w:rPr>
          <w:szCs w:val="24"/>
        </w:rPr>
        <w:t>.</w:t>
      </w:r>
      <w:r w:rsidRPr="00CF5CB1">
        <w:rPr>
          <w:szCs w:val="24"/>
        </w:rPr>
        <w:t xml:space="preserve"> 3) undergo MD simulations</w:t>
      </w:r>
      <w:r>
        <w:rPr>
          <w:szCs w:val="24"/>
        </w:rPr>
        <w:t xml:space="preserve"> to investigate their variability in the absence of any bias</w:t>
      </w:r>
      <w:r w:rsidRPr="00CF5CB1">
        <w:rPr>
          <w:szCs w:val="24"/>
        </w:rPr>
        <w:t xml:space="preserve">. </w:t>
      </w:r>
      <w:r>
        <w:rPr>
          <w:szCs w:val="24"/>
        </w:rPr>
        <w:t>During MD simulations,</w:t>
      </w:r>
      <w:r w:rsidRPr="00CF5CB1">
        <w:rPr>
          <w:szCs w:val="24"/>
        </w:rPr>
        <w:t xml:space="preserve"> </w:t>
      </w:r>
      <w:r w:rsidRPr="00CF5CB1">
        <w:rPr>
          <w:b/>
          <w:bCs/>
          <w:szCs w:val="24"/>
        </w:rPr>
        <w:t>A</w:t>
      </w:r>
      <w:r w:rsidRPr="00CF5CB1">
        <w:rPr>
          <w:szCs w:val="24"/>
        </w:rPr>
        <w:t xml:space="preserve"> </w:t>
      </w:r>
      <w:r>
        <w:rPr>
          <w:szCs w:val="24"/>
        </w:rPr>
        <w:t xml:space="preserve">could </w:t>
      </w:r>
      <w:r w:rsidRPr="00CF5CB1">
        <w:rPr>
          <w:szCs w:val="24"/>
        </w:rPr>
        <w:t xml:space="preserve">bind to the </w:t>
      </w:r>
      <w:r>
        <w:rPr>
          <w:szCs w:val="24"/>
        </w:rPr>
        <w:t>cluster binding</w:t>
      </w:r>
      <w:r w:rsidRPr="00CF5CB1">
        <w:rPr>
          <w:szCs w:val="24"/>
        </w:rPr>
        <w:t xml:space="preserve"> region</w:t>
      </w:r>
      <w:r>
        <w:rPr>
          <w:szCs w:val="24"/>
        </w:rPr>
        <w:t xml:space="preserve">, </w:t>
      </w:r>
      <w:r>
        <w:rPr>
          <w:szCs w:val="24"/>
        </w:rPr>
        <w:lastRenderedPageBreak/>
        <w:t xml:space="preserve">especially poses obtained from pose 2, </w:t>
      </w:r>
      <w:r w:rsidRPr="00CF5CB1">
        <w:rPr>
          <w:szCs w:val="24"/>
        </w:rPr>
        <w:t>as in the X-ray structure</w:t>
      </w:r>
      <w:r>
        <w:rPr>
          <w:szCs w:val="24"/>
        </w:rPr>
        <w:t xml:space="preserve"> </w:t>
      </w:r>
      <w:r w:rsidRPr="00CF5CB1">
        <w:rPr>
          <w:szCs w:val="24"/>
        </w:rPr>
        <w:t>(2’ in Fig</w:t>
      </w:r>
      <w:r>
        <w:rPr>
          <w:szCs w:val="24"/>
        </w:rPr>
        <w:t>.</w:t>
      </w:r>
      <w:r w:rsidRPr="00CF5CB1">
        <w:rPr>
          <w:szCs w:val="24"/>
        </w:rPr>
        <w:t xml:space="preserve"> </w:t>
      </w:r>
      <w:r>
        <w:rPr>
          <w:szCs w:val="24"/>
        </w:rPr>
        <w:t>S5, see details in the SI)</w:t>
      </w:r>
      <w:r w:rsidRPr="00CF5CB1">
        <w:rPr>
          <w:szCs w:val="24"/>
        </w:rPr>
        <w:t xml:space="preserve">. </w:t>
      </w:r>
    </w:p>
    <w:p w14:paraId="24ADD416" w14:textId="77777777" w:rsidR="00FF380F" w:rsidRPr="00360C62" w:rsidRDefault="00FF380F" w:rsidP="00D569C3">
      <w:pPr>
        <w:pStyle w:val="TAMainText"/>
        <w:rPr>
          <w:szCs w:val="24"/>
        </w:rPr>
      </w:pPr>
      <w:r w:rsidRPr="00360C62">
        <w:rPr>
          <w:szCs w:val="24"/>
        </w:rPr>
        <w:t xml:space="preserve">The minimum 3 is </w:t>
      </w:r>
      <w:r w:rsidRPr="00360C62">
        <w:rPr>
          <w:szCs w:val="24"/>
        </w:rPr>
        <w:sym w:font="Symbol" w:char="F07E"/>
      </w:r>
      <w:r w:rsidRPr="00360C62">
        <w:rPr>
          <w:szCs w:val="24"/>
        </w:rPr>
        <w:t xml:space="preserve">1.7 kcal/mol higher than minimum 2. Here, </w:t>
      </w:r>
      <w:r w:rsidRPr="00360C62">
        <w:rPr>
          <w:b/>
          <w:szCs w:val="24"/>
        </w:rPr>
        <w:t xml:space="preserve">A </w:t>
      </w:r>
      <w:r w:rsidRPr="00360C62">
        <w:rPr>
          <w:szCs w:val="24"/>
        </w:rPr>
        <w:t>forms hydrophobic interactions with Phe82, Ala69 on the β-</w:t>
      </w:r>
      <w:r w:rsidRPr="00360C62">
        <w:rPr>
          <w:rFonts w:hint="eastAsia"/>
          <w:szCs w:val="24"/>
        </w:rPr>
        <w:t>c</w:t>
      </w:r>
      <w:r w:rsidRPr="00360C62">
        <w:rPr>
          <w:szCs w:val="24"/>
        </w:rPr>
        <w:t>ap (Fig</w:t>
      </w:r>
      <w:r>
        <w:rPr>
          <w:szCs w:val="24"/>
        </w:rPr>
        <w:t>.</w:t>
      </w:r>
      <w:r w:rsidRPr="00360C62">
        <w:rPr>
          <w:szCs w:val="24"/>
        </w:rPr>
        <w:t xml:space="preserve"> 4C). </w:t>
      </w:r>
      <w:r w:rsidRPr="00360C62">
        <w:rPr>
          <w:b/>
          <w:bCs/>
          <w:szCs w:val="24"/>
        </w:rPr>
        <w:t>A</w:t>
      </w:r>
      <w:r w:rsidRPr="00360C62">
        <w:rPr>
          <w:szCs w:val="24"/>
        </w:rPr>
        <w:t>’s thiophene ring also forms hydrophobic interactions with Val70, while its phenyl ring with Val57, Pro100, and Ile102. In addition, it forms polar interactions with Lys55, Lys68, Gly85, and His87. The amide oxygen and carboxylate groups form H-bonds with water in solution (Fig</w:t>
      </w:r>
      <w:r>
        <w:rPr>
          <w:szCs w:val="24"/>
        </w:rPr>
        <w:t>.</w:t>
      </w:r>
      <w:r w:rsidRPr="00360C62">
        <w:rPr>
          <w:szCs w:val="24"/>
        </w:rPr>
        <w:t xml:space="preserve"> 4C). The minima 4</w:t>
      </w:r>
      <w:r>
        <w:rPr>
          <w:rStyle w:val="ae"/>
        </w:rPr>
        <w:footnoteReference w:id="3"/>
      </w:r>
      <w:r w:rsidRPr="00360C62">
        <w:rPr>
          <w:szCs w:val="24"/>
        </w:rPr>
        <w:t xml:space="preserve"> and 5 are </w:t>
      </w:r>
      <w:r>
        <w:rPr>
          <w:szCs w:val="24"/>
        </w:rPr>
        <w:t xml:space="preserve">farther </w:t>
      </w:r>
      <w:r w:rsidRPr="00360C62">
        <w:rPr>
          <w:szCs w:val="24"/>
        </w:rPr>
        <w:t xml:space="preserve">~1.2 kcal/mol higher. </w:t>
      </w:r>
      <w:r>
        <w:rPr>
          <w:szCs w:val="24"/>
        </w:rPr>
        <w:t xml:space="preserve">Here, </w:t>
      </w:r>
      <w:r w:rsidRPr="00360C62">
        <w:rPr>
          <w:b/>
          <w:bCs/>
          <w:szCs w:val="24"/>
        </w:rPr>
        <w:t>A</w:t>
      </w:r>
      <w:r w:rsidRPr="00360C62">
        <w:rPr>
          <w:szCs w:val="24"/>
        </w:rPr>
        <w:t xml:space="preserve"> forms hydrophobic interactions with L1 (Fig</w:t>
      </w:r>
      <w:r>
        <w:rPr>
          <w:szCs w:val="24"/>
        </w:rPr>
        <w:t>.</w:t>
      </w:r>
      <w:r w:rsidRPr="00360C62">
        <w:rPr>
          <w:szCs w:val="24"/>
        </w:rPr>
        <w:t xml:space="preserve"> 3). Specifically, in </w:t>
      </w:r>
      <w:r>
        <w:rPr>
          <w:szCs w:val="24"/>
        </w:rPr>
        <w:t xml:space="preserve">minimum </w:t>
      </w:r>
      <w:r w:rsidRPr="00360C62">
        <w:rPr>
          <w:szCs w:val="24"/>
        </w:rPr>
        <w:t>4 (and 5), the tetralin group forms hydrophobic interaction with Pro54 (with His48 and Lys78). Its thiophene ring interacts with Asn53 and Asn97 (</w:t>
      </w:r>
      <w:r>
        <w:rPr>
          <w:szCs w:val="24"/>
        </w:rPr>
        <w:t xml:space="preserve">with </w:t>
      </w:r>
      <w:r w:rsidRPr="00360C62">
        <w:rPr>
          <w:szCs w:val="24"/>
        </w:rPr>
        <w:t>Ile49 and Phe80), while the phenyl moiety with Met44 (</w:t>
      </w:r>
      <w:r>
        <w:rPr>
          <w:szCs w:val="24"/>
        </w:rPr>
        <w:t xml:space="preserve">with </w:t>
      </w:r>
      <w:r w:rsidRPr="00360C62">
        <w:rPr>
          <w:szCs w:val="24"/>
        </w:rPr>
        <w:t>Gln50). Both amide and carboxylate oxygen forms H-bonds with water molecules (Fig</w:t>
      </w:r>
      <w:r>
        <w:rPr>
          <w:szCs w:val="24"/>
        </w:rPr>
        <w:t>.</w:t>
      </w:r>
      <w:r w:rsidRPr="00360C62">
        <w:rPr>
          <w:szCs w:val="24"/>
        </w:rPr>
        <w:t xml:space="preserve"> 4D and </w:t>
      </w:r>
      <w:r>
        <w:rPr>
          <w:szCs w:val="24"/>
        </w:rPr>
        <w:t>4</w:t>
      </w:r>
      <w:r w:rsidRPr="00360C62">
        <w:rPr>
          <w:szCs w:val="24"/>
        </w:rPr>
        <w:t xml:space="preserve">E). </w:t>
      </w:r>
    </w:p>
    <w:p w14:paraId="3BAE190C" w14:textId="77777777" w:rsidR="00FF380F" w:rsidRDefault="00FF380F" w:rsidP="00EC0470">
      <w:pPr>
        <w:pStyle w:val="TAMainText"/>
        <w:rPr>
          <w:sz w:val="16"/>
          <w:szCs w:val="16"/>
        </w:rPr>
      </w:pPr>
      <w:r>
        <w:rPr>
          <w:szCs w:val="24"/>
        </w:rPr>
        <w:t>As expected, t</w:t>
      </w:r>
      <w:r w:rsidRPr="00360C62">
        <w:rPr>
          <w:szCs w:val="24"/>
        </w:rPr>
        <w:t xml:space="preserve">he free energy of binding </w:t>
      </w:r>
      <w:r>
        <w:rPr>
          <w:szCs w:val="24"/>
        </w:rPr>
        <w:t>show</w:t>
      </w:r>
      <w:r>
        <w:rPr>
          <w:rFonts w:hint="eastAsia"/>
          <w:szCs w:val="24"/>
          <w:lang w:eastAsia="zh-CN"/>
        </w:rPr>
        <w:t>s</w:t>
      </w:r>
      <w:r>
        <w:rPr>
          <w:szCs w:val="24"/>
        </w:rPr>
        <w:t xml:space="preserve"> some degrees of </w:t>
      </w:r>
      <w:r w:rsidRPr="00360C62">
        <w:rPr>
          <w:szCs w:val="24"/>
        </w:rPr>
        <w:t>correlat</w:t>
      </w:r>
      <w:r>
        <w:rPr>
          <w:szCs w:val="24"/>
        </w:rPr>
        <w:t>ion</w:t>
      </w:r>
      <w:r w:rsidRPr="00360C62">
        <w:rPr>
          <w:szCs w:val="24"/>
        </w:rPr>
        <w:t xml:space="preserve"> with the number of ligand/protein contacts (</w:t>
      </w:r>
      <w:proofErr w:type="spellStart"/>
      <w:r w:rsidRPr="00360C62">
        <w:rPr>
          <w:szCs w:val="24"/>
        </w:rPr>
        <w:t>c</w:t>
      </w:r>
      <w:r w:rsidRPr="00360C62">
        <w:rPr>
          <w:szCs w:val="24"/>
          <w:vertAlign w:val="subscript"/>
        </w:rPr>
        <w:t>protein</w:t>
      </w:r>
      <w:proofErr w:type="spellEnd"/>
      <w:r w:rsidRPr="00360C62">
        <w:rPr>
          <w:szCs w:val="24"/>
        </w:rPr>
        <w:t>, see Methods)</w:t>
      </w:r>
      <w:r>
        <w:rPr>
          <w:szCs w:val="24"/>
        </w:rPr>
        <w:t xml:space="preserve"> across the five poses identified here. This is </w:t>
      </w:r>
      <w:r w:rsidRPr="00360C62">
        <w:rPr>
          <w:szCs w:val="24"/>
        </w:rPr>
        <w:t>shown by a plot of</w:t>
      </w:r>
      <w:r w:rsidRPr="00360C62">
        <w:rPr>
          <w:i/>
          <w:iCs/>
          <w:szCs w:val="24"/>
        </w:rPr>
        <w:t xml:space="preserve"> </w:t>
      </w:r>
      <w:r w:rsidRPr="00360C62">
        <w:rPr>
          <w:szCs w:val="24"/>
        </w:rPr>
        <w:t>the absolute value of the binding free energy (</w:t>
      </w:r>
      <m:oMath>
        <m:d>
          <m:dPr>
            <m:begChr m:val="|"/>
            <m:endChr m:val="|"/>
            <m:ctrlPr>
              <w:rPr>
                <w:rFonts w:ascii="Cambria Math" w:hAnsi="Cambria Math"/>
                <w:b/>
                <w:bCs/>
                <w:i/>
                <w:szCs w:val="24"/>
              </w:rPr>
            </m:ctrlPr>
          </m:dPr>
          <m:e>
            <m:r>
              <m:rPr>
                <m:sty m:val="bi"/>
              </m:rPr>
              <w:rPr>
                <w:rFonts w:ascii="Cambria Math" w:hAnsi="Cambria Math"/>
                <w:szCs w:val="24"/>
              </w:rPr>
              <m:t>∆</m:t>
            </m:r>
            <m:sSubSup>
              <m:sSubSupPr>
                <m:ctrlPr>
                  <w:rPr>
                    <w:rFonts w:ascii="Cambria Math" w:hAnsi="Cambria Math"/>
                    <w:i/>
                    <w:szCs w:val="24"/>
                  </w:rPr>
                </m:ctrlPr>
              </m:sSubSupPr>
              <m:e>
                <m:r>
                  <w:rPr>
                    <w:rFonts w:ascii="Cambria Math" w:hAnsi="Cambria Math"/>
                    <w:szCs w:val="24"/>
                  </w:rPr>
                  <m:t>G</m:t>
                </m:r>
              </m:e>
              <m:sub>
                <m:r>
                  <w:rPr>
                    <w:rFonts w:ascii="Cambria Math" w:hAnsi="Cambria Math"/>
                    <w:szCs w:val="24"/>
                  </w:rPr>
                  <m:t>b</m:t>
                </m:r>
              </m:sub>
              <m:sup>
                <m:r>
                  <w:rPr>
                    <w:rFonts w:ascii="Cambria Math" w:hAnsi="Cambria Math"/>
                    <w:szCs w:val="24"/>
                  </w:rPr>
                  <m:t>0</m:t>
                </m:r>
              </m:sup>
            </m:sSubSup>
          </m:e>
        </m:d>
        <m:r>
          <m:rPr>
            <m:sty m:val="bi"/>
          </m:rPr>
          <w:rPr>
            <w:rFonts w:ascii="Cambria Math" w:hAnsi="Cambria Math"/>
            <w:szCs w:val="24"/>
          </w:rPr>
          <m:t xml:space="preserve">) </m:t>
        </m:r>
      </m:oMath>
      <w:r w:rsidRPr="00360C62">
        <w:rPr>
          <w:szCs w:val="24"/>
        </w:rPr>
        <w:t>against c</w:t>
      </w:r>
      <w:r w:rsidRPr="00360C62">
        <w:rPr>
          <w:szCs w:val="24"/>
          <w:vertAlign w:val="subscript"/>
        </w:rPr>
        <w:t>protein</w:t>
      </w:r>
      <w:r w:rsidRPr="00360C62">
        <w:rPr>
          <w:szCs w:val="24"/>
        </w:rPr>
        <w:t xml:space="preserve"> (Fig</w:t>
      </w:r>
      <w:r>
        <w:rPr>
          <w:szCs w:val="24"/>
        </w:rPr>
        <w:t>.</w:t>
      </w:r>
      <w:r w:rsidRPr="00360C62">
        <w:rPr>
          <w:szCs w:val="24"/>
        </w:rPr>
        <w:t xml:space="preserve"> </w:t>
      </w:r>
      <w:r>
        <w:rPr>
          <w:szCs w:val="24"/>
        </w:rPr>
        <w:t>5</w:t>
      </w:r>
      <w:r w:rsidRPr="00360C62">
        <w:rPr>
          <w:szCs w:val="24"/>
        </w:rPr>
        <w:t>): Poses 4 and 5 in water solution</w:t>
      </w:r>
      <w:r>
        <w:rPr>
          <w:szCs w:val="24"/>
        </w:rPr>
        <w:t>, which are not significantly populated according to our calculation (see Fig. 5A),</w:t>
      </w:r>
      <w:r w:rsidRPr="00360C62">
        <w:rPr>
          <w:szCs w:val="24"/>
        </w:rPr>
        <w:t xml:space="preserve"> are associated with the lowest </w:t>
      </w:r>
      <m:oMath>
        <m:d>
          <m:dPr>
            <m:begChr m:val="|"/>
            <m:endChr m:val="|"/>
            <m:ctrlPr>
              <w:rPr>
                <w:rFonts w:ascii="Cambria Math" w:hAnsi="Cambria Math"/>
                <w:b/>
                <w:bCs/>
                <w:i/>
                <w:szCs w:val="24"/>
              </w:rPr>
            </m:ctrlPr>
          </m:dPr>
          <m:e>
            <m:r>
              <m:rPr>
                <m:sty m:val="bi"/>
              </m:rPr>
              <w:rPr>
                <w:rFonts w:ascii="Cambria Math" w:hAnsi="Cambria Math"/>
                <w:szCs w:val="24"/>
              </w:rPr>
              <m:t>∆</m:t>
            </m:r>
            <m:sSubSup>
              <m:sSubSupPr>
                <m:ctrlPr>
                  <w:rPr>
                    <w:rFonts w:ascii="Cambria Math" w:hAnsi="Cambria Math"/>
                    <w:i/>
                    <w:szCs w:val="24"/>
                  </w:rPr>
                </m:ctrlPr>
              </m:sSubSupPr>
              <m:e>
                <m:r>
                  <w:rPr>
                    <w:rFonts w:ascii="Cambria Math" w:hAnsi="Cambria Math"/>
                    <w:szCs w:val="24"/>
                  </w:rPr>
                  <m:t>G</m:t>
                </m:r>
              </m:e>
              <m:sub>
                <m:r>
                  <w:rPr>
                    <w:rFonts w:ascii="Cambria Math" w:hAnsi="Cambria Math"/>
                    <w:szCs w:val="24"/>
                  </w:rPr>
                  <m:t>b</m:t>
                </m:r>
              </m:sub>
              <m:sup>
                <m:r>
                  <w:rPr>
                    <w:rFonts w:ascii="Cambria Math" w:hAnsi="Cambria Math"/>
                    <w:szCs w:val="24"/>
                  </w:rPr>
                  <m:t>0</m:t>
                </m:r>
              </m:sup>
            </m:sSubSup>
          </m:e>
        </m:d>
      </m:oMath>
      <w:r w:rsidRPr="00360C62">
        <w:rPr>
          <w:szCs w:val="24"/>
        </w:rPr>
        <w:t xml:space="preserve"> and </w:t>
      </w:r>
      <w:proofErr w:type="spellStart"/>
      <w:r w:rsidRPr="00360C62">
        <w:rPr>
          <w:szCs w:val="24"/>
        </w:rPr>
        <w:t>c</w:t>
      </w:r>
      <w:r w:rsidRPr="00360C62">
        <w:rPr>
          <w:szCs w:val="24"/>
          <w:vertAlign w:val="subscript"/>
        </w:rPr>
        <w:t>protein</w:t>
      </w:r>
      <w:proofErr w:type="spellEnd"/>
      <w:r w:rsidRPr="00360C62">
        <w:rPr>
          <w:szCs w:val="24"/>
        </w:rPr>
        <w:t xml:space="preserve"> values. The ligand is highly hydrated, as shown by the high number of contacts of </w:t>
      </w:r>
      <w:r w:rsidRPr="00360C62">
        <w:rPr>
          <w:b/>
          <w:bCs/>
          <w:szCs w:val="24"/>
        </w:rPr>
        <w:t xml:space="preserve">A </w:t>
      </w:r>
      <w:r w:rsidRPr="00360C62">
        <w:rPr>
          <w:szCs w:val="24"/>
        </w:rPr>
        <w:t>with the solvent (</w:t>
      </w:r>
      <w:proofErr w:type="spellStart"/>
      <w:r w:rsidRPr="00360C62">
        <w:rPr>
          <w:szCs w:val="24"/>
        </w:rPr>
        <w:t>c</w:t>
      </w:r>
      <w:r w:rsidRPr="00360C62">
        <w:rPr>
          <w:szCs w:val="24"/>
          <w:vertAlign w:val="subscript"/>
        </w:rPr>
        <w:t>water</w:t>
      </w:r>
      <w:proofErr w:type="spellEnd"/>
      <w:r w:rsidRPr="00360C62">
        <w:rPr>
          <w:szCs w:val="24"/>
        </w:rPr>
        <w:t>, Fig</w:t>
      </w:r>
      <w:r>
        <w:rPr>
          <w:szCs w:val="24"/>
        </w:rPr>
        <w:t>.</w:t>
      </w:r>
      <w:r w:rsidRPr="00360C62">
        <w:rPr>
          <w:szCs w:val="24"/>
        </w:rPr>
        <w:t xml:space="preserve"> </w:t>
      </w:r>
      <w:r>
        <w:rPr>
          <w:szCs w:val="24"/>
        </w:rPr>
        <w:t>5</w:t>
      </w:r>
      <w:r w:rsidRPr="00360C62">
        <w:rPr>
          <w:szCs w:val="24"/>
        </w:rPr>
        <w:t xml:space="preserve">B and </w:t>
      </w:r>
      <w:r>
        <w:rPr>
          <w:szCs w:val="24"/>
        </w:rPr>
        <w:t>5</w:t>
      </w:r>
      <w:r w:rsidRPr="00360C62">
        <w:rPr>
          <w:szCs w:val="24"/>
        </w:rPr>
        <w:t>D). Poses 1</w:t>
      </w:r>
      <w:r w:rsidRPr="00360C62">
        <w:rPr>
          <w:rFonts w:eastAsia="Times New Roman"/>
          <w:szCs w:val="24"/>
        </w:rPr>
        <w:t>–</w:t>
      </w:r>
      <w:r w:rsidRPr="00360C62">
        <w:rPr>
          <w:szCs w:val="24"/>
        </w:rPr>
        <w:t xml:space="preserve">3 are associated with higher  </w:t>
      </w:r>
      <m:oMath>
        <m:d>
          <m:dPr>
            <m:begChr m:val="|"/>
            <m:endChr m:val="|"/>
            <m:ctrlPr>
              <w:rPr>
                <w:rFonts w:ascii="Cambria Math" w:hAnsi="Cambria Math"/>
                <w:b/>
                <w:bCs/>
                <w:i/>
                <w:szCs w:val="24"/>
              </w:rPr>
            </m:ctrlPr>
          </m:dPr>
          <m:e>
            <m:r>
              <m:rPr>
                <m:sty m:val="bi"/>
              </m:rPr>
              <w:rPr>
                <w:rFonts w:ascii="Cambria Math" w:hAnsi="Cambria Math"/>
                <w:szCs w:val="24"/>
              </w:rPr>
              <m:t>∆</m:t>
            </m:r>
            <m:sSubSup>
              <m:sSubSupPr>
                <m:ctrlPr>
                  <w:rPr>
                    <w:rFonts w:ascii="Cambria Math" w:hAnsi="Cambria Math"/>
                    <w:i/>
                    <w:szCs w:val="24"/>
                  </w:rPr>
                </m:ctrlPr>
              </m:sSubSupPr>
              <m:e>
                <m:r>
                  <w:rPr>
                    <w:rFonts w:ascii="Cambria Math" w:hAnsi="Cambria Math"/>
                    <w:szCs w:val="24"/>
                  </w:rPr>
                  <m:t>G</m:t>
                </m:r>
              </m:e>
              <m:sub>
                <m:r>
                  <w:rPr>
                    <w:rFonts w:ascii="Cambria Math" w:hAnsi="Cambria Math"/>
                    <w:szCs w:val="24"/>
                  </w:rPr>
                  <m:t>b</m:t>
                </m:r>
              </m:sub>
              <m:sup>
                <m:r>
                  <w:rPr>
                    <w:rFonts w:ascii="Cambria Math" w:hAnsi="Cambria Math"/>
                    <w:szCs w:val="24"/>
                  </w:rPr>
                  <m:t>0</m:t>
                </m:r>
              </m:sup>
            </m:sSubSup>
          </m:e>
        </m:d>
      </m:oMath>
      <w:r w:rsidRPr="00360C62">
        <w:rPr>
          <w:szCs w:val="24"/>
        </w:rPr>
        <w:t xml:space="preserve"> and c</w:t>
      </w:r>
      <w:r w:rsidRPr="00360C62">
        <w:rPr>
          <w:szCs w:val="24"/>
          <w:vertAlign w:val="subscript"/>
        </w:rPr>
        <w:t>protein</w:t>
      </w:r>
      <w:r w:rsidRPr="00360C62">
        <w:rPr>
          <w:szCs w:val="24"/>
        </w:rPr>
        <w:t xml:space="preserve"> values (Fig</w:t>
      </w:r>
      <w:r>
        <w:rPr>
          <w:szCs w:val="24"/>
        </w:rPr>
        <w:t>.</w:t>
      </w:r>
      <w:r w:rsidRPr="00360C62">
        <w:rPr>
          <w:szCs w:val="24"/>
        </w:rPr>
        <w:t xml:space="preserve"> </w:t>
      </w:r>
      <w:r>
        <w:rPr>
          <w:szCs w:val="24"/>
        </w:rPr>
        <w:t>5</w:t>
      </w:r>
      <w:r w:rsidRPr="00360C62">
        <w:rPr>
          <w:szCs w:val="24"/>
        </w:rPr>
        <w:t>A) and the ligand forms less contacts with water (Fig</w:t>
      </w:r>
      <w:r>
        <w:rPr>
          <w:szCs w:val="24"/>
        </w:rPr>
        <w:t>.</w:t>
      </w:r>
      <w:r w:rsidRPr="00360C62">
        <w:rPr>
          <w:szCs w:val="24"/>
        </w:rPr>
        <w:t xml:space="preserve"> </w:t>
      </w:r>
      <w:r>
        <w:rPr>
          <w:szCs w:val="24"/>
        </w:rPr>
        <w:t>5</w:t>
      </w:r>
      <w:r w:rsidRPr="00360C62">
        <w:rPr>
          <w:szCs w:val="24"/>
        </w:rPr>
        <w:t xml:space="preserve">B). Instead, </w:t>
      </w:r>
      <w:r w:rsidRPr="00360C62">
        <w:rPr>
          <w:szCs w:val="24"/>
        </w:rPr>
        <w:lastRenderedPageBreak/>
        <w:t xml:space="preserve">as it might be expected, the </w:t>
      </w:r>
      <w:r w:rsidRPr="00360C62">
        <w:rPr>
          <w:i/>
          <w:iCs/>
          <w:szCs w:val="24"/>
        </w:rPr>
        <w:t xml:space="preserve">total </w:t>
      </w:r>
      <w:r w:rsidRPr="00360C62">
        <w:rPr>
          <w:szCs w:val="24"/>
        </w:rPr>
        <w:t>number of contacts (</w:t>
      </w:r>
      <w:proofErr w:type="spellStart"/>
      <w:r w:rsidRPr="00360C62">
        <w:rPr>
          <w:szCs w:val="24"/>
        </w:rPr>
        <w:t>c</w:t>
      </w:r>
      <w:r w:rsidRPr="00360C62">
        <w:rPr>
          <w:szCs w:val="24"/>
          <w:vertAlign w:val="subscript"/>
        </w:rPr>
        <w:t>total</w:t>
      </w:r>
      <w:proofErr w:type="spellEnd"/>
      <w:r w:rsidRPr="00E66FA5">
        <w:rPr>
          <w:szCs w:val="24"/>
        </w:rPr>
        <w:t xml:space="preserve"> </w:t>
      </w:r>
      <w:r w:rsidRPr="00360C62">
        <w:rPr>
          <w:szCs w:val="24"/>
        </w:rPr>
        <w:t xml:space="preserve">= </w:t>
      </w:r>
      <w:proofErr w:type="spellStart"/>
      <w:r w:rsidRPr="00360C62">
        <w:rPr>
          <w:szCs w:val="24"/>
        </w:rPr>
        <w:t>c</w:t>
      </w:r>
      <w:r w:rsidRPr="00360C62">
        <w:rPr>
          <w:szCs w:val="24"/>
          <w:vertAlign w:val="subscript"/>
        </w:rPr>
        <w:t>protein</w:t>
      </w:r>
      <w:proofErr w:type="spellEnd"/>
      <w:r w:rsidRPr="00360C62">
        <w:rPr>
          <w:szCs w:val="24"/>
        </w:rPr>
        <w:t xml:space="preserve"> + </w:t>
      </w:r>
      <w:proofErr w:type="spellStart"/>
      <w:r w:rsidRPr="00360C62">
        <w:rPr>
          <w:szCs w:val="24"/>
        </w:rPr>
        <w:t>c</w:t>
      </w:r>
      <w:r w:rsidRPr="00360C62">
        <w:rPr>
          <w:szCs w:val="24"/>
          <w:vertAlign w:val="subscript"/>
        </w:rPr>
        <w:t>water</w:t>
      </w:r>
      <w:proofErr w:type="spellEnd"/>
      <w:r w:rsidRPr="00360C62">
        <w:rPr>
          <w:szCs w:val="24"/>
        </w:rPr>
        <w:t xml:space="preserve">) shows no correlation </w:t>
      </w:r>
      <w:r>
        <w:rPr>
          <w:szCs w:val="24"/>
        </w:rPr>
        <w:t xml:space="preserve">with the free energy </w:t>
      </w:r>
      <w:r w:rsidRPr="00360C62">
        <w:rPr>
          <w:szCs w:val="24"/>
        </w:rPr>
        <w:t>(Fig</w:t>
      </w:r>
      <w:r>
        <w:rPr>
          <w:szCs w:val="24"/>
        </w:rPr>
        <w:t>.</w:t>
      </w:r>
      <w:r w:rsidRPr="00360C62">
        <w:rPr>
          <w:szCs w:val="24"/>
        </w:rPr>
        <w:t xml:space="preserve"> </w:t>
      </w:r>
      <w:r>
        <w:rPr>
          <w:szCs w:val="24"/>
        </w:rPr>
        <w:t>5</w:t>
      </w:r>
      <w:r w:rsidRPr="00360C62">
        <w:rPr>
          <w:szCs w:val="24"/>
        </w:rPr>
        <w:t>C).</w:t>
      </w:r>
      <w:r w:rsidRPr="00360C62">
        <w:rPr>
          <w:b/>
          <w:bCs/>
          <w:szCs w:val="24"/>
        </w:rPr>
        <w:t xml:space="preserve"> </w:t>
      </w:r>
      <w:r>
        <w:rPr>
          <w:szCs w:val="24"/>
        </w:rPr>
        <w:t>The number of contacts in the crystal turns out to be far larger than that of any pose in solution</w:t>
      </w:r>
      <w:r w:rsidRPr="00360C62">
        <w:rPr>
          <w:szCs w:val="24"/>
        </w:rPr>
        <w:t xml:space="preserve">, </w:t>
      </w:r>
      <w:r>
        <w:rPr>
          <w:szCs w:val="24"/>
        </w:rPr>
        <w:t xml:space="preserve">because of the additional contacts of the complex with its images </w:t>
      </w:r>
      <w:r w:rsidRPr="00360C62">
        <w:rPr>
          <w:szCs w:val="24"/>
        </w:rPr>
        <w:t>(Fig</w:t>
      </w:r>
      <w:r>
        <w:rPr>
          <w:szCs w:val="24"/>
        </w:rPr>
        <w:t>.</w:t>
      </w:r>
      <w:r w:rsidRPr="00360C62">
        <w:rPr>
          <w:szCs w:val="24"/>
        </w:rPr>
        <w:t xml:space="preserve"> 2). </w:t>
      </w:r>
      <w:r>
        <w:rPr>
          <w:szCs w:val="24"/>
        </w:rPr>
        <w:t>Hence, w</w:t>
      </w:r>
      <w:r w:rsidRPr="00360C62">
        <w:rPr>
          <w:szCs w:val="24"/>
        </w:rPr>
        <w:t xml:space="preserve">e </w:t>
      </w:r>
      <w:r>
        <w:rPr>
          <w:szCs w:val="24"/>
        </w:rPr>
        <w:t>may expect</w:t>
      </w:r>
      <w:r w:rsidRPr="00360C62">
        <w:rPr>
          <w:szCs w:val="24"/>
        </w:rPr>
        <w:t xml:space="preserve"> that the pose </w:t>
      </w:r>
      <w:r>
        <w:rPr>
          <w:szCs w:val="24"/>
        </w:rPr>
        <w:t xml:space="preserve">in the crystal </w:t>
      </w:r>
      <w:r w:rsidRPr="00360C62">
        <w:rPr>
          <w:szCs w:val="24"/>
        </w:rPr>
        <w:t>to</w:t>
      </w:r>
      <w:r>
        <w:rPr>
          <w:szCs w:val="24"/>
        </w:rPr>
        <w:t xml:space="preserve"> be rather different from</w:t>
      </w:r>
      <w:r w:rsidRPr="00360C62">
        <w:rPr>
          <w:szCs w:val="24"/>
        </w:rPr>
        <w:t xml:space="preserve"> those in solution</w:t>
      </w:r>
      <w:r>
        <w:rPr>
          <w:szCs w:val="24"/>
        </w:rPr>
        <w:t>, which is indeed what we find here</w:t>
      </w:r>
      <w:r w:rsidRPr="00360C62">
        <w:rPr>
          <w:szCs w:val="24"/>
        </w:rPr>
        <w:t>.</w:t>
      </w:r>
    </w:p>
    <w:p w14:paraId="2103BF06" w14:textId="77777777" w:rsidR="00FF380F" w:rsidRPr="000A788E" w:rsidRDefault="00FF380F" w:rsidP="00344C19">
      <w:pPr>
        <w:pStyle w:val="TAMainText"/>
        <w:ind w:firstLine="0"/>
        <w:rPr>
          <w:sz w:val="16"/>
          <w:szCs w:val="16"/>
        </w:rPr>
      </w:pPr>
    </w:p>
    <w:p w14:paraId="27C3FE9B" w14:textId="77777777" w:rsidR="00FF380F" w:rsidRPr="000B68C1" w:rsidRDefault="00FF380F" w:rsidP="006040CA">
      <w:pPr>
        <w:jc w:val="center"/>
        <w:rPr>
          <w:rFonts w:ascii="Times New Roman" w:hAnsi="Times New Roman"/>
          <w:sz w:val="16"/>
          <w:szCs w:val="16"/>
        </w:rPr>
      </w:pPr>
      <w:r>
        <w:rPr>
          <w:rFonts w:ascii="Times New Roman" w:hAnsi="Times New Roman"/>
          <w:noProof/>
          <w:sz w:val="16"/>
          <w:szCs w:val="16"/>
        </w:rPr>
        <w:drawing>
          <wp:inline distT="0" distB="0" distL="0" distR="0" wp14:anchorId="1FBD0FED" wp14:editId="3318B643">
            <wp:extent cx="4184535" cy="3368040"/>
            <wp:effectExtent l="0" t="0" r="6985"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86676" cy="3369763"/>
                    </a:xfrm>
                    <a:prstGeom prst="rect">
                      <a:avLst/>
                    </a:prstGeom>
                    <a:noFill/>
                    <a:ln>
                      <a:noFill/>
                    </a:ln>
                  </pic:spPr>
                </pic:pic>
              </a:graphicData>
            </a:graphic>
          </wp:inline>
        </w:drawing>
      </w:r>
    </w:p>
    <w:p w14:paraId="250B4758" w14:textId="77777777" w:rsidR="00FF380F" w:rsidRPr="005F5249" w:rsidRDefault="00FF380F" w:rsidP="006040CA">
      <w:pPr>
        <w:rPr>
          <w:rFonts w:ascii="Times New Roman" w:hAnsi="Times New Roman"/>
          <w:sz w:val="21"/>
          <w:szCs w:val="21"/>
        </w:rPr>
      </w:pPr>
      <w:r w:rsidRPr="005F5249">
        <w:rPr>
          <w:rFonts w:ascii="Times New Roman" w:hAnsi="Times New Roman" w:hint="eastAsia"/>
          <w:b/>
          <w:bCs/>
          <w:sz w:val="21"/>
          <w:szCs w:val="21"/>
        </w:rPr>
        <w:t>F</w:t>
      </w:r>
      <w:r w:rsidRPr="005F5249">
        <w:rPr>
          <w:rFonts w:ascii="Times New Roman" w:hAnsi="Times New Roman"/>
          <w:b/>
          <w:bCs/>
          <w:sz w:val="21"/>
          <w:szCs w:val="21"/>
        </w:rPr>
        <w:t xml:space="preserve">igure </w:t>
      </w:r>
      <w:r>
        <w:rPr>
          <w:rFonts w:ascii="Times New Roman" w:hAnsi="Times New Roman"/>
          <w:b/>
          <w:bCs/>
          <w:sz w:val="21"/>
          <w:szCs w:val="21"/>
        </w:rPr>
        <w:t>5</w:t>
      </w:r>
      <w:r w:rsidRPr="005F5249">
        <w:rPr>
          <w:rFonts w:ascii="Times New Roman" w:hAnsi="Times New Roman"/>
          <w:b/>
          <w:bCs/>
          <w:sz w:val="21"/>
          <w:szCs w:val="21"/>
        </w:rPr>
        <w:t>. Correlation between ligand/protein number of contacts and the absolute value of binding free energy (</w:t>
      </w:r>
      <m:oMath>
        <m:d>
          <m:dPr>
            <m:begChr m:val="|"/>
            <m:endChr m:val="|"/>
            <m:ctrlPr>
              <w:rPr>
                <w:rFonts w:ascii="Cambria Math" w:hAnsi="Cambria Math"/>
                <w:b/>
                <w:bCs/>
                <w:i/>
                <w:sz w:val="21"/>
                <w:szCs w:val="21"/>
              </w:rPr>
            </m:ctrlPr>
          </m:dPr>
          <m:e>
            <m:r>
              <m:rPr>
                <m:sty m:val="bi"/>
              </m:rPr>
              <w:rPr>
                <w:rFonts w:ascii="Cambria Math" w:hAnsi="Cambria Math"/>
                <w:sz w:val="21"/>
                <w:szCs w:val="21"/>
              </w:rPr>
              <m:t>∆</m:t>
            </m:r>
            <m:sSubSup>
              <m:sSubSupPr>
                <m:ctrlPr>
                  <w:rPr>
                    <w:rFonts w:ascii="Cambria Math" w:hAnsi="Cambria Math"/>
                    <w:b/>
                    <w:bCs/>
                    <w:i/>
                    <w:sz w:val="21"/>
                    <w:szCs w:val="21"/>
                  </w:rPr>
                </m:ctrlPr>
              </m:sSubSupPr>
              <m:e>
                <m:r>
                  <m:rPr>
                    <m:sty m:val="bi"/>
                  </m:rPr>
                  <w:rPr>
                    <w:rFonts w:ascii="Cambria Math" w:hAnsi="Cambria Math"/>
                    <w:sz w:val="21"/>
                    <w:szCs w:val="21"/>
                  </w:rPr>
                  <m:t>G</m:t>
                </m:r>
              </m:e>
              <m:sub>
                <m:r>
                  <m:rPr>
                    <m:sty m:val="bi"/>
                  </m:rPr>
                  <w:rPr>
                    <w:rFonts w:ascii="Cambria Math" w:hAnsi="Cambria Math"/>
                    <w:sz w:val="21"/>
                    <w:szCs w:val="21"/>
                  </w:rPr>
                  <m:t>b</m:t>
                </m:r>
              </m:sub>
              <m:sup>
                <m:r>
                  <m:rPr>
                    <m:sty m:val="bi"/>
                  </m:rPr>
                  <w:rPr>
                    <w:rFonts w:ascii="Cambria Math" w:hAnsi="Cambria Math"/>
                    <w:sz w:val="21"/>
                    <w:szCs w:val="21"/>
                  </w:rPr>
                  <m:t>0</m:t>
                </m:r>
              </m:sup>
            </m:sSubSup>
          </m:e>
        </m:d>
      </m:oMath>
      <w:r w:rsidRPr="005F5249">
        <w:rPr>
          <w:rFonts w:ascii="Times New Roman" w:hAnsi="Times New Roman"/>
          <w:b/>
          <w:bCs/>
          <w:sz w:val="21"/>
          <w:szCs w:val="21"/>
        </w:rPr>
        <w:t xml:space="preserve">). </w:t>
      </w:r>
      <w:r w:rsidRPr="005F5249">
        <w:rPr>
          <w:rFonts w:ascii="Times New Roman" w:hAnsi="Times New Roman"/>
          <w:sz w:val="21"/>
          <w:szCs w:val="21"/>
        </w:rPr>
        <w:t>Poses 1</w:t>
      </w:r>
      <w:r w:rsidRPr="005F5249">
        <w:rPr>
          <w:rFonts w:eastAsia="Times New Roman"/>
          <w:sz w:val="21"/>
          <w:szCs w:val="21"/>
        </w:rPr>
        <w:t>–</w:t>
      </w:r>
      <w:r w:rsidRPr="005F5249">
        <w:rPr>
          <w:rFonts w:ascii="Times New Roman" w:hAnsi="Times New Roman"/>
          <w:sz w:val="21"/>
          <w:szCs w:val="21"/>
        </w:rPr>
        <w:t>3 are shown as the blue squares, 4</w:t>
      </w:r>
      <w:r w:rsidRPr="005F5249">
        <w:rPr>
          <w:rFonts w:eastAsia="Times New Roman"/>
          <w:sz w:val="21"/>
          <w:szCs w:val="21"/>
        </w:rPr>
        <w:t>–</w:t>
      </w:r>
      <w:r w:rsidRPr="005F5249">
        <w:rPr>
          <w:rFonts w:ascii="Times New Roman" w:hAnsi="Times New Roman"/>
          <w:sz w:val="21"/>
          <w:szCs w:val="21"/>
        </w:rPr>
        <w:t xml:space="preserve">5 as red squares. </w:t>
      </w:r>
    </w:p>
    <w:p w14:paraId="3CBCB5F0" w14:textId="77777777" w:rsidR="00FF380F" w:rsidRPr="00CA6B5D" w:rsidRDefault="00FF380F" w:rsidP="006040CA">
      <w:pPr>
        <w:rPr>
          <w:rFonts w:ascii="Times New Roman" w:hAnsi="Times New Roman"/>
          <w:szCs w:val="24"/>
        </w:rPr>
      </w:pPr>
    </w:p>
    <w:p w14:paraId="2E9C9028" w14:textId="77777777" w:rsidR="00FF380F" w:rsidRPr="00CA6B5D" w:rsidRDefault="00FF380F" w:rsidP="00DC45CD">
      <w:pPr>
        <w:pStyle w:val="TAMainText"/>
        <w:numPr>
          <w:ilvl w:val="1"/>
          <w:numId w:val="12"/>
        </w:numPr>
        <w:spacing w:after="240"/>
        <w:jc w:val="left"/>
        <w:rPr>
          <w:b/>
          <w:bCs/>
          <w:szCs w:val="24"/>
          <w:lang w:eastAsia="zh-CN"/>
        </w:rPr>
      </w:pPr>
      <w:r w:rsidRPr="00CA6B5D">
        <w:rPr>
          <w:rFonts w:hint="eastAsia"/>
          <w:b/>
          <w:bCs/>
          <w:szCs w:val="24"/>
          <w:lang w:eastAsia="zh-CN"/>
        </w:rPr>
        <w:t>B</w:t>
      </w:r>
      <w:r w:rsidRPr="00CA6B5D">
        <w:rPr>
          <w:b/>
          <w:bCs/>
          <w:szCs w:val="24"/>
          <w:lang w:eastAsia="zh-CN"/>
        </w:rPr>
        <w:t>inding of the ligand at 310 K</w:t>
      </w:r>
    </w:p>
    <w:p w14:paraId="47530B73" w14:textId="77777777" w:rsidR="00FF380F" w:rsidRPr="00CA6B5D" w:rsidRDefault="00FF380F" w:rsidP="00DF7177">
      <w:pPr>
        <w:pStyle w:val="TAMainText"/>
        <w:rPr>
          <w:szCs w:val="24"/>
        </w:rPr>
      </w:pPr>
      <w:r>
        <w:rPr>
          <w:bCs/>
          <w:szCs w:val="24"/>
        </w:rPr>
        <w:t xml:space="preserve">We evaluate here the impact of temperature on the ligand binding profile. </w:t>
      </w:r>
      <w:r w:rsidRPr="00CA6B5D">
        <w:rPr>
          <w:bCs/>
          <w:szCs w:val="24"/>
        </w:rPr>
        <w:t xml:space="preserve">The free energy associated with </w:t>
      </w:r>
      <w:r w:rsidRPr="00CA6B5D">
        <w:rPr>
          <w:b/>
          <w:bCs/>
          <w:szCs w:val="24"/>
        </w:rPr>
        <w:t>A</w:t>
      </w:r>
      <w:r w:rsidRPr="00CA6B5D">
        <w:rPr>
          <w:bCs/>
          <w:szCs w:val="24"/>
        </w:rPr>
        <w:t xml:space="preserve"> </w:t>
      </w:r>
      <w:r w:rsidRPr="00CA6B5D">
        <w:rPr>
          <w:szCs w:val="24"/>
        </w:rPr>
        <w:t xml:space="preserve">binding </w:t>
      </w:r>
      <w:r w:rsidRPr="00CA6B5D">
        <w:rPr>
          <w:b/>
          <w:bCs/>
          <w:szCs w:val="24"/>
        </w:rPr>
        <w:t>I</w:t>
      </w:r>
      <w:r w:rsidRPr="00CA6B5D">
        <w:rPr>
          <w:szCs w:val="24"/>
        </w:rPr>
        <w:t xml:space="preserve"> at physiological temperature, </w:t>
      </w:r>
      <w:r w:rsidRPr="00CA6B5D">
        <w:rPr>
          <w:i/>
          <w:iCs/>
          <w:szCs w:val="24"/>
        </w:rPr>
        <w:t>i.e.</w:t>
      </w:r>
      <w:r w:rsidRPr="00CA6B5D">
        <w:rPr>
          <w:szCs w:val="24"/>
        </w:rPr>
        <w:t>, 310 K is shown in Fig</w:t>
      </w:r>
      <w:r>
        <w:rPr>
          <w:szCs w:val="24"/>
        </w:rPr>
        <w:t>.</w:t>
      </w:r>
      <w:r w:rsidRPr="00CA6B5D">
        <w:rPr>
          <w:szCs w:val="24"/>
        </w:rPr>
        <w:t xml:space="preserve"> </w:t>
      </w:r>
      <w:r>
        <w:rPr>
          <w:szCs w:val="24"/>
        </w:rPr>
        <w:t>6</w:t>
      </w:r>
      <w:r w:rsidRPr="00CA6B5D">
        <w:rPr>
          <w:szCs w:val="24"/>
        </w:rPr>
        <w:t xml:space="preserve">. It differs markedly from that at 293 K. </w:t>
      </w:r>
      <w:r>
        <w:rPr>
          <w:szCs w:val="24"/>
        </w:rPr>
        <w:t xml:space="preserve">Specifically, only 2 minima are present (out of the 5 minima found at </w:t>
      </w:r>
      <w:r w:rsidRPr="00CA6B5D">
        <w:rPr>
          <w:szCs w:val="24"/>
        </w:rPr>
        <w:t>293 K</w:t>
      </w:r>
      <w:r>
        <w:rPr>
          <w:szCs w:val="24"/>
        </w:rPr>
        <w:t xml:space="preserve">) and the deepest one has a highest free energy with respect all the </w:t>
      </w:r>
      <w:r>
        <w:rPr>
          <w:szCs w:val="24"/>
        </w:rPr>
        <w:lastRenderedPageBreak/>
        <w:t xml:space="preserve">minima found at </w:t>
      </w:r>
      <w:r w:rsidRPr="00CA6B5D">
        <w:rPr>
          <w:szCs w:val="24"/>
        </w:rPr>
        <w:t>293 K</w:t>
      </w:r>
      <w:r>
        <w:rPr>
          <w:szCs w:val="24"/>
        </w:rPr>
        <w:t xml:space="preserve">. </w:t>
      </w:r>
      <w:r w:rsidRPr="00CA6B5D">
        <w:rPr>
          <w:szCs w:val="24"/>
        </w:rPr>
        <w:t>The minima 1 and 2 are associated with binding free energy of −8.2 ± 0.8 kcal/mol and −6.6 ± 0.8 kcal/mol, respectively.</w:t>
      </w:r>
    </w:p>
    <w:p w14:paraId="57EB081A" w14:textId="77777777" w:rsidR="00FF380F" w:rsidRPr="000B68C1" w:rsidRDefault="00FF380F" w:rsidP="00DF7177">
      <w:pPr>
        <w:pStyle w:val="TAMainText"/>
        <w:rPr>
          <w:sz w:val="16"/>
          <w:szCs w:val="16"/>
        </w:rPr>
      </w:pPr>
    </w:p>
    <w:p w14:paraId="6EA2B8AA" w14:textId="77777777" w:rsidR="00FF380F" w:rsidRPr="000B68C1" w:rsidRDefault="00FF380F" w:rsidP="004B525C">
      <w:pPr>
        <w:pStyle w:val="TAMainText"/>
        <w:ind w:firstLine="0"/>
        <w:jc w:val="center"/>
        <w:rPr>
          <w:sz w:val="16"/>
          <w:szCs w:val="16"/>
        </w:rPr>
      </w:pPr>
      <w:r>
        <w:rPr>
          <w:noProof/>
          <w:sz w:val="16"/>
          <w:szCs w:val="16"/>
        </w:rPr>
        <w:drawing>
          <wp:inline distT="0" distB="0" distL="0" distR="0" wp14:anchorId="561506E6" wp14:editId="7FB6883B">
            <wp:extent cx="5433060" cy="2187066"/>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34593" cy="2187683"/>
                    </a:xfrm>
                    <a:prstGeom prst="rect">
                      <a:avLst/>
                    </a:prstGeom>
                    <a:noFill/>
                    <a:ln>
                      <a:noFill/>
                    </a:ln>
                  </pic:spPr>
                </pic:pic>
              </a:graphicData>
            </a:graphic>
          </wp:inline>
        </w:drawing>
      </w:r>
    </w:p>
    <w:p w14:paraId="73934F2F" w14:textId="77777777" w:rsidR="00FF380F" w:rsidRPr="00CA6B5D" w:rsidRDefault="00FF380F" w:rsidP="00301069">
      <w:pPr>
        <w:pStyle w:val="VAFigureCaption"/>
        <w:rPr>
          <w:sz w:val="21"/>
          <w:szCs w:val="21"/>
        </w:rPr>
      </w:pPr>
      <w:r w:rsidRPr="00CA6B5D">
        <w:rPr>
          <w:rFonts w:hint="eastAsia"/>
          <w:b/>
          <w:bCs/>
          <w:sz w:val="21"/>
          <w:szCs w:val="21"/>
        </w:rPr>
        <w:t>F</w:t>
      </w:r>
      <w:r w:rsidRPr="00CA6B5D">
        <w:rPr>
          <w:b/>
          <w:bCs/>
          <w:sz w:val="21"/>
          <w:szCs w:val="21"/>
        </w:rPr>
        <w:t xml:space="preserve">igure </w:t>
      </w:r>
      <w:r>
        <w:rPr>
          <w:b/>
          <w:bCs/>
          <w:sz w:val="21"/>
          <w:szCs w:val="21"/>
        </w:rPr>
        <w:t>6</w:t>
      </w:r>
      <w:r w:rsidRPr="00CA6B5D">
        <w:rPr>
          <w:b/>
          <w:bCs/>
          <w:sz w:val="21"/>
          <w:szCs w:val="21"/>
        </w:rPr>
        <w:t xml:space="preserve">. Free energy </w:t>
      </w:r>
      <w:r>
        <w:rPr>
          <w:b/>
          <w:bCs/>
          <w:sz w:val="21"/>
          <w:szCs w:val="21"/>
        </w:rPr>
        <w:t xml:space="preserve">(kcal/mol) </w:t>
      </w:r>
      <w:r w:rsidRPr="00CA6B5D">
        <w:rPr>
          <w:b/>
          <w:bCs/>
          <w:sz w:val="21"/>
          <w:szCs w:val="21"/>
        </w:rPr>
        <w:t>as a function of the distance between the centers of mass of A and the [2Fe</w:t>
      </w:r>
      <w:r w:rsidRPr="00DD3509">
        <w:rPr>
          <w:rFonts w:eastAsia="Times New Roman"/>
          <w:b/>
          <w:bCs/>
          <w:szCs w:val="24"/>
        </w:rPr>
        <w:t>–</w:t>
      </w:r>
      <w:r w:rsidRPr="00CA6B5D">
        <w:rPr>
          <w:b/>
          <w:bCs/>
          <w:sz w:val="21"/>
          <w:szCs w:val="21"/>
        </w:rPr>
        <w:t xml:space="preserve">2S] cluster and the number of H-bonds/salt bridges at 310 K. </w:t>
      </w:r>
      <w:bookmarkStart w:id="9" w:name="_Hlk103812067"/>
      <w:r w:rsidRPr="00CA6B5D">
        <w:rPr>
          <w:sz w:val="21"/>
          <w:szCs w:val="21"/>
        </w:rPr>
        <w:t xml:space="preserve">The crystal binding pose is shown in the slate stick as a reference, while predicted binding poses are in orange. </w:t>
      </w:r>
    </w:p>
    <w:bookmarkEnd w:id="9"/>
    <w:p w14:paraId="7551C0F9" w14:textId="77777777" w:rsidR="00FF380F" w:rsidRDefault="00FF380F" w:rsidP="00373044">
      <w:pPr>
        <w:pStyle w:val="TAMainText"/>
        <w:rPr>
          <w:szCs w:val="24"/>
          <w:lang w:eastAsia="zh-CN"/>
        </w:rPr>
      </w:pPr>
      <w:r w:rsidRPr="004973A2">
        <w:rPr>
          <w:szCs w:val="24"/>
        </w:rPr>
        <w:t xml:space="preserve">In minimum 1, the tetralin group forms a π-cation interaction with Lys51 and hydrophobic interactions with Met44 and Leu47. Additionally, </w:t>
      </w:r>
      <w:r w:rsidRPr="004973A2">
        <w:rPr>
          <w:b/>
          <w:bCs/>
          <w:szCs w:val="24"/>
        </w:rPr>
        <w:t>A</w:t>
      </w:r>
      <w:r w:rsidRPr="004973A2">
        <w:rPr>
          <w:szCs w:val="24"/>
        </w:rPr>
        <w:t>’s carbonyl oxygen includes an H-bond between His48 while the carboxylate group with water molecules (Fig</w:t>
      </w:r>
      <w:r>
        <w:rPr>
          <w:szCs w:val="24"/>
        </w:rPr>
        <w:t>.</w:t>
      </w:r>
      <w:r w:rsidRPr="004973A2">
        <w:rPr>
          <w:szCs w:val="24"/>
        </w:rPr>
        <w:t xml:space="preserve"> </w:t>
      </w:r>
      <w:r>
        <w:rPr>
          <w:szCs w:val="24"/>
        </w:rPr>
        <w:t>6</w:t>
      </w:r>
      <w:r w:rsidRPr="004973A2">
        <w:rPr>
          <w:szCs w:val="24"/>
        </w:rPr>
        <w:t>A, Table S</w:t>
      </w:r>
      <w:r>
        <w:rPr>
          <w:szCs w:val="24"/>
        </w:rPr>
        <w:t>5</w:t>
      </w:r>
      <w:r w:rsidRPr="004973A2">
        <w:rPr>
          <w:szCs w:val="24"/>
        </w:rPr>
        <w:t xml:space="preserve"> in SI). In minimum 2, the tetralin group forms a π-π stacking with Phe82 and hydrophobic interactions with Leu65, Ala69, and Val70. Its thiophene ring and amide moiety form polar van der Waals (</w:t>
      </w:r>
      <w:proofErr w:type="spellStart"/>
      <w:r w:rsidRPr="004973A2">
        <w:rPr>
          <w:szCs w:val="24"/>
        </w:rPr>
        <w:t>vdW</w:t>
      </w:r>
      <w:proofErr w:type="spellEnd"/>
      <w:r w:rsidRPr="004973A2">
        <w:rPr>
          <w:szCs w:val="24"/>
        </w:rPr>
        <w:t>) interactions with Lys78 and Lys79. Besides, carbonyl and carboxylate oxygens form H-bonds with water molecules (Fig</w:t>
      </w:r>
      <w:r>
        <w:rPr>
          <w:szCs w:val="24"/>
        </w:rPr>
        <w:t>.</w:t>
      </w:r>
      <w:r w:rsidRPr="004973A2">
        <w:rPr>
          <w:szCs w:val="24"/>
        </w:rPr>
        <w:t xml:space="preserve"> </w:t>
      </w:r>
      <w:r>
        <w:rPr>
          <w:szCs w:val="24"/>
        </w:rPr>
        <w:t>6</w:t>
      </w:r>
      <w:r w:rsidRPr="004973A2">
        <w:rPr>
          <w:szCs w:val="24"/>
        </w:rPr>
        <w:t>B, Table S5 in SI).</w:t>
      </w:r>
      <w:r>
        <w:rPr>
          <w:szCs w:val="24"/>
        </w:rPr>
        <w:t xml:space="preserve"> </w:t>
      </w:r>
      <w:r>
        <w:rPr>
          <w:szCs w:val="24"/>
          <w:lang w:eastAsia="zh-CN"/>
        </w:rPr>
        <w:t>For the sake of simplicity, we do not discuss the interactions with water, which are displayed in the Figures.</w:t>
      </w:r>
    </w:p>
    <w:p w14:paraId="5C64F6E2" w14:textId="77777777" w:rsidR="00FF380F" w:rsidRDefault="00FF380F" w:rsidP="00277388">
      <w:pPr>
        <w:pStyle w:val="TAMainText"/>
        <w:rPr>
          <w:rFonts w:ascii="Times New Roman" w:hAnsi="Times New Roman"/>
          <w:szCs w:val="24"/>
        </w:rPr>
      </w:pPr>
      <w:r>
        <w:rPr>
          <w:rFonts w:ascii="Times New Roman" w:hAnsi="Times New Roman"/>
          <w:szCs w:val="24"/>
        </w:rPr>
        <w:t>We next evaluated the impact of the p</w:t>
      </w:r>
      <w:r w:rsidRPr="004973A2">
        <w:rPr>
          <w:rFonts w:ascii="Times New Roman" w:hAnsi="Times New Roman"/>
          <w:szCs w:val="24"/>
        </w:rPr>
        <w:t xml:space="preserve">rotonation </w:t>
      </w:r>
      <w:r>
        <w:rPr>
          <w:rFonts w:ascii="Times New Roman" w:hAnsi="Times New Roman"/>
          <w:szCs w:val="24"/>
        </w:rPr>
        <w:t xml:space="preserve">of His87 </w:t>
      </w:r>
      <w:r w:rsidRPr="004973A2">
        <w:rPr>
          <w:rFonts w:ascii="Times New Roman" w:hAnsi="Times New Roman"/>
          <w:szCs w:val="24"/>
        </w:rPr>
        <w:t xml:space="preserve">and/or </w:t>
      </w:r>
      <w:r>
        <w:rPr>
          <w:rFonts w:ascii="Times New Roman" w:hAnsi="Times New Roman"/>
          <w:szCs w:val="24"/>
        </w:rPr>
        <w:t xml:space="preserve">cluster </w:t>
      </w:r>
      <w:r w:rsidRPr="004973A2">
        <w:rPr>
          <w:rFonts w:ascii="Times New Roman" w:hAnsi="Times New Roman"/>
          <w:szCs w:val="24"/>
        </w:rPr>
        <w:t xml:space="preserve">reduction </w:t>
      </w:r>
      <w:r>
        <w:rPr>
          <w:rFonts w:ascii="Times New Roman" w:hAnsi="Times New Roman"/>
          <w:szCs w:val="24"/>
        </w:rPr>
        <w:t xml:space="preserve">on </w:t>
      </w:r>
      <w:r w:rsidRPr="004973A2">
        <w:rPr>
          <w:rFonts w:ascii="Times New Roman" w:hAnsi="Times New Roman"/>
          <w:szCs w:val="24"/>
        </w:rPr>
        <w:t xml:space="preserve">the free energy landscape. First, let us discuss the effect </w:t>
      </w:r>
      <w:r>
        <w:rPr>
          <w:rFonts w:ascii="Times New Roman" w:hAnsi="Times New Roman"/>
          <w:szCs w:val="24"/>
        </w:rPr>
        <w:t xml:space="preserve">of the protonation of His87, </w:t>
      </w:r>
      <w:r w:rsidRPr="00325CD8">
        <w:rPr>
          <w:rFonts w:ascii="Times New Roman" w:hAnsi="Times New Roman"/>
          <w:i/>
          <w:iCs/>
          <w:szCs w:val="24"/>
        </w:rPr>
        <w:t>i.e.</w:t>
      </w:r>
      <w:r>
        <w:rPr>
          <w:rFonts w:ascii="Times New Roman" w:hAnsi="Times New Roman"/>
          <w:szCs w:val="24"/>
        </w:rPr>
        <w:t xml:space="preserve">, </w:t>
      </w:r>
      <w:r w:rsidRPr="00CD3503">
        <w:rPr>
          <w:rFonts w:ascii="Times New Roman" w:hAnsi="Times New Roman"/>
          <w:szCs w:val="24"/>
        </w:rPr>
        <w:lastRenderedPageBreak/>
        <w:t xml:space="preserve">imidazole </w:t>
      </w:r>
      <w:r>
        <w:rPr>
          <w:rFonts w:ascii="Times New Roman" w:hAnsi="Times New Roman"/>
          <w:szCs w:val="24"/>
        </w:rPr>
        <w:t xml:space="preserve">instead of </w:t>
      </w:r>
      <w:r w:rsidRPr="00CD3503">
        <w:rPr>
          <w:rFonts w:ascii="Times New Roman" w:hAnsi="Times New Roman"/>
          <w:szCs w:val="24"/>
        </w:rPr>
        <w:t>imidazol</w:t>
      </w:r>
      <w:r>
        <w:rPr>
          <w:rFonts w:ascii="Times New Roman" w:hAnsi="Times New Roman"/>
          <w:szCs w:val="24"/>
        </w:rPr>
        <w:t xml:space="preserve">ate </w:t>
      </w:r>
      <w:r w:rsidRPr="004973A2">
        <w:rPr>
          <w:rFonts w:ascii="Times New Roman" w:hAnsi="Times New Roman"/>
          <w:szCs w:val="24"/>
        </w:rPr>
        <w:t xml:space="preserve">(complex </w:t>
      </w:r>
      <w:r w:rsidRPr="004973A2">
        <w:rPr>
          <w:rFonts w:ascii="Times New Roman" w:hAnsi="Times New Roman"/>
          <w:b/>
          <w:bCs/>
          <w:szCs w:val="24"/>
        </w:rPr>
        <w:t>II</w:t>
      </w:r>
      <w:r w:rsidRPr="004973A2">
        <w:rPr>
          <w:rFonts w:ascii="Times New Roman" w:hAnsi="Times New Roman"/>
          <w:szCs w:val="24"/>
        </w:rPr>
        <w:t xml:space="preserve">). The </w:t>
      </w:r>
      <w:r>
        <w:rPr>
          <w:rFonts w:ascii="Times New Roman" w:hAnsi="Times New Roman"/>
          <w:szCs w:val="24"/>
        </w:rPr>
        <w:t xml:space="preserve">free energy landscape becomes much more complex, with as many as six minima, </w:t>
      </w:r>
      <w:r w:rsidRPr="004973A2">
        <w:rPr>
          <w:rFonts w:ascii="Times New Roman" w:hAnsi="Times New Roman"/>
          <w:szCs w:val="24"/>
        </w:rPr>
        <w:t xml:space="preserve">five </w:t>
      </w:r>
      <w:r>
        <w:rPr>
          <w:rFonts w:ascii="Times New Roman" w:hAnsi="Times New Roman"/>
          <w:szCs w:val="24"/>
        </w:rPr>
        <w:t xml:space="preserve">of which </w:t>
      </w:r>
      <w:r w:rsidRPr="004973A2">
        <w:rPr>
          <w:rFonts w:ascii="Times New Roman" w:hAnsi="Times New Roman"/>
          <w:szCs w:val="24"/>
        </w:rPr>
        <w:t>(minimum 1, 3</w:t>
      </w:r>
      <w:r w:rsidRPr="004973A2">
        <w:rPr>
          <w:rFonts w:eastAsia="Times New Roman"/>
          <w:szCs w:val="24"/>
        </w:rPr>
        <w:t>–</w:t>
      </w:r>
      <w:r w:rsidRPr="004973A2">
        <w:rPr>
          <w:rFonts w:ascii="Times New Roman" w:hAnsi="Times New Roman"/>
          <w:szCs w:val="24"/>
        </w:rPr>
        <w:t xml:space="preserve">6) are not too dissimilar </w:t>
      </w:r>
      <w:r>
        <w:rPr>
          <w:rFonts w:ascii="Times New Roman" w:hAnsi="Times New Roman"/>
          <w:szCs w:val="24"/>
        </w:rPr>
        <w:t xml:space="preserve">in geometry </w:t>
      </w:r>
      <w:r w:rsidRPr="004973A2">
        <w:rPr>
          <w:rFonts w:ascii="Times New Roman" w:hAnsi="Times New Roman"/>
          <w:szCs w:val="24"/>
        </w:rPr>
        <w:t xml:space="preserve">to those of </w:t>
      </w:r>
      <w:r w:rsidRPr="004973A2">
        <w:rPr>
          <w:rFonts w:ascii="Times New Roman" w:hAnsi="Times New Roman"/>
          <w:b/>
          <w:szCs w:val="24"/>
        </w:rPr>
        <w:t xml:space="preserve">I </w:t>
      </w:r>
      <w:r w:rsidRPr="004973A2">
        <w:rPr>
          <w:rFonts w:ascii="Times New Roman" w:hAnsi="Times New Roman"/>
          <w:bCs/>
          <w:szCs w:val="24"/>
        </w:rPr>
        <w:t>at 293 K</w:t>
      </w:r>
      <w:r>
        <w:rPr>
          <w:rFonts w:ascii="Times New Roman" w:hAnsi="Times New Roman"/>
          <w:bCs/>
          <w:szCs w:val="24"/>
        </w:rPr>
        <w:t xml:space="preserve"> (Fig. 3);</w:t>
      </w:r>
      <w:r w:rsidRPr="004973A2">
        <w:rPr>
          <w:rFonts w:ascii="Times New Roman" w:hAnsi="Times New Roman"/>
          <w:bCs/>
          <w:szCs w:val="24"/>
        </w:rPr>
        <w:t xml:space="preserve"> </w:t>
      </w:r>
      <w:r>
        <w:rPr>
          <w:rFonts w:ascii="Times New Roman" w:hAnsi="Times New Roman"/>
          <w:szCs w:val="24"/>
        </w:rPr>
        <w:t>I</w:t>
      </w:r>
      <w:r w:rsidRPr="004973A2">
        <w:rPr>
          <w:rFonts w:ascii="Times New Roman" w:hAnsi="Times New Roman"/>
          <w:szCs w:val="24"/>
        </w:rPr>
        <w:t>n mini</w:t>
      </w:r>
      <w:r w:rsidRPr="00B75561">
        <w:rPr>
          <w:rFonts w:ascii="Times New Roman" w:hAnsi="Times New Roman"/>
          <w:szCs w:val="24"/>
        </w:rPr>
        <w:t>mum 1 (−6.2 ± 0.8 kcal/mol, Table 3</w:t>
      </w:r>
      <w:r>
        <w:rPr>
          <w:rFonts w:ascii="Times New Roman" w:hAnsi="Times New Roman"/>
          <w:szCs w:val="24"/>
        </w:rPr>
        <w:t xml:space="preserve"> and S6 in SI</w:t>
      </w:r>
      <w:r w:rsidRPr="00B75561">
        <w:rPr>
          <w:rFonts w:ascii="Times New Roman" w:hAnsi="Times New Roman"/>
          <w:szCs w:val="24"/>
        </w:rPr>
        <w:t>), th</w:t>
      </w:r>
      <w:r w:rsidRPr="004973A2">
        <w:rPr>
          <w:rFonts w:ascii="Times New Roman" w:hAnsi="Times New Roman"/>
          <w:szCs w:val="24"/>
        </w:rPr>
        <w:t xml:space="preserve">e thiophene ring of </w:t>
      </w:r>
      <w:r w:rsidRPr="004973A2">
        <w:rPr>
          <w:rFonts w:ascii="Times New Roman" w:hAnsi="Times New Roman"/>
          <w:b/>
          <w:szCs w:val="24"/>
        </w:rPr>
        <w:t>A</w:t>
      </w:r>
      <w:r w:rsidRPr="004973A2">
        <w:rPr>
          <w:rFonts w:ascii="Times New Roman" w:hAnsi="Times New Roman"/>
          <w:szCs w:val="24"/>
        </w:rPr>
        <w:t xml:space="preserve"> forms π-π stacking interactions with His48, hydrophobic interactions with Ile49, and interaction with Ser77 backbone unit; </w:t>
      </w:r>
      <w:r w:rsidRPr="004973A2">
        <w:rPr>
          <w:rFonts w:ascii="Times New Roman" w:hAnsi="Times New Roman"/>
          <w:b/>
          <w:bCs/>
          <w:szCs w:val="24"/>
        </w:rPr>
        <w:t>A</w:t>
      </w:r>
      <w:r w:rsidRPr="004973A2">
        <w:rPr>
          <w:rFonts w:ascii="Times New Roman" w:hAnsi="Times New Roman"/>
          <w:szCs w:val="24"/>
        </w:rPr>
        <w:t xml:space="preserve">’s carbonyl oxygen forms a water-mediated H-bond with Arg76; The carboxylate group forms a salt bridge with Lys78 and H-bonds with solvent molecules; </w:t>
      </w:r>
      <w:r>
        <w:rPr>
          <w:rFonts w:ascii="Times New Roman" w:hAnsi="Times New Roman"/>
          <w:szCs w:val="24"/>
        </w:rPr>
        <w:t xml:space="preserve">at times, </w:t>
      </w:r>
      <w:r w:rsidRPr="004973A2">
        <w:rPr>
          <w:rFonts w:ascii="Times New Roman" w:hAnsi="Times New Roman"/>
          <w:szCs w:val="24"/>
        </w:rPr>
        <w:t>its phenyl group forms</w:t>
      </w:r>
      <w:r>
        <w:rPr>
          <w:rFonts w:ascii="Times New Roman" w:hAnsi="Times New Roman"/>
          <w:szCs w:val="24"/>
        </w:rPr>
        <w:t xml:space="preserve"> </w:t>
      </w:r>
      <w:r w:rsidRPr="004973A2">
        <w:rPr>
          <w:rFonts w:ascii="Times New Roman" w:hAnsi="Times New Roman"/>
          <w:szCs w:val="24"/>
        </w:rPr>
        <w:t xml:space="preserve">interaction with Glu93. </w:t>
      </w:r>
    </w:p>
    <w:p w14:paraId="286021A2" w14:textId="77777777" w:rsidR="00FF380F" w:rsidRDefault="00FF380F" w:rsidP="00277388">
      <w:pPr>
        <w:pStyle w:val="TAMainText"/>
        <w:rPr>
          <w:rFonts w:ascii="Times New Roman" w:hAnsi="Times New Roman"/>
          <w:szCs w:val="24"/>
        </w:rPr>
      </w:pPr>
      <w:r w:rsidRPr="004973A2">
        <w:rPr>
          <w:rFonts w:ascii="Times New Roman" w:hAnsi="Times New Roman"/>
          <w:szCs w:val="24"/>
        </w:rPr>
        <w:t>In</w:t>
      </w:r>
      <w:r>
        <w:rPr>
          <w:rFonts w:ascii="Times New Roman" w:hAnsi="Times New Roman"/>
          <w:szCs w:val="24"/>
        </w:rPr>
        <w:t xml:space="preserve"> the next</w:t>
      </w:r>
      <w:r w:rsidRPr="004973A2">
        <w:rPr>
          <w:rFonts w:ascii="Times New Roman" w:hAnsi="Times New Roman"/>
          <w:szCs w:val="24"/>
        </w:rPr>
        <w:t xml:space="preserve"> minimum (2</w:t>
      </w:r>
      <w:r>
        <w:rPr>
          <w:rFonts w:ascii="Times New Roman" w:hAnsi="Times New Roman"/>
          <w:szCs w:val="24"/>
        </w:rPr>
        <w:t xml:space="preserve">, </w:t>
      </w:r>
      <w:r w:rsidRPr="004973A2">
        <w:rPr>
          <w:rFonts w:ascii="Times New Roman" w:hAnsi="Times New Roman"/>
          <w:szCs w:val="24"/>
        </w:rPr>
        <w:t>−5.7 ± 0.8 kcal/mol), the tetralin group forms hydrophobic interactions with Pro54, while the phenyl ring interacts with Val57</w:t>
      </w:r>
      <w:r w:rsidRPr="004973A2">
        <w:rPr>
          <w:rFonts w:eastAsia="Times New Roman"/>
          <w:szCs w:val="24"/>
        </w:rPr>
        <w:t>–</w:t>
      </w:r>
      <w:r w:rsidRPr="004973A2">
        <w:rPr>
          <w:rFonts w:ascii="Times New Roman" w:hAnsi="Times New Roman"/>
          <w:szCs w:val="24"/>
        </w:rPr>
        <w:t>Ala59, Ile102; the thiophene ring interacts with Asn53; the carboxylate oxygens form a salt bridge with Lys55, and H-bonds with water molecules (Fig</w:t>
      </w:r>
      <w:r>
        <w:rPr>
          <w:rFonts w:ascii="Times New Roman" w:hAnsi="Times New Roman"/>
          <w:szCs w:val="24"/>
        </w:rPr>
        <w:t>.</w:t>
      </w:r>
      <w:r w:rsidRPr="004973A2">
        <w:rPr>
          <w:rFonts w:ascii="Times New Roman" w:hAnsi="Times New Roman"/>
          <w:szCs w:val="24"/>
        </w:rPr>
        <w:t xml:space="preserve"> </w:t>
      </w:r>
      <w:r>
        <w:rPr>
          <w:rFonts w:ascii="Times New Roman" w:hAnsi="Times New Roman"/>
          <w:szCs w:val="24"/>
        </w:rPr>
        <w:t>7</w:t>
      </w:r>
      <w:r w:rsidRPr="004973A2">
        <w:rPr>
          <w:rFonts w:ascii="Times New Roman" w:hAnsi="Times New Roman"/>
          <w:szCs w:val="24"/>
        </w:rPr>
        <w:t xml:space="preserve">). </w:t>
      </w:r>
    </w:p>
    <w:p w14:paraId="0AF6FC0D" w14:textId="77777777" w:rsidR="00FF380F" w:rsidRDefault="00FF380F" w:rsidP="00277388">
      <w:pPr>
        <w:pStyle w:val="TAMainText"/>
        <w:rPr>
          <w:rFonts w:ascii="Times New Roman" w:hAnsi="Times New Roman"/>
          <w:szCs w:val="24"/>
        </w:rPr>
      </w:pPr>
      <w:r w:rsidRPr="004973A2">
        <w:rPr>
          <w:rFonts w:ascii="Times New Roman" w:hAnsi="Times New Roman"/>
          <w:szCs w:val="24"/>
        </w:rPr>
        <w:t>In minimum 3 (−5.6 ± 0.8 kcal/mol), the tetralin and thiophene rings form hydrophobic interactions with Phe80</w:t>
      </w:r>
      <w:r w:rsidRPr="004973A2">
        <w:rPr>
          <w:rFonts w:eastAsia="Times New Roman"/>
          <w:szCs w:val="24"/>
        </w:rPr>
        <w:t>–</w:t>
      </w:r>
      <w:r w:rsidRPr="004973A2">
        <w:rPr>
          <w:rFonts w:ascii="Times New Roman" w:hAnsi="Times New Roman"/>
          <w:szCs w:val="24"/>
        </w:rPr>
        <w:t xml:space="preserve">Phe82, the carboxylate forms a salt bridge with Ly79; the carbonyl oxygen forms a water-mediated H-bond with Lys78. </w:t>
      </w:r>
    </w:p>
    <w:p w14:paraId="40303B0A" w14:textId="77777777" w:rsidR="00FF380F" w:rsidRDefault="00FF380F" w:rsidP="00277388">
      <w:pPr>
        <w:pStyle w:val="TAMainText"/>
        <w:rPr>
          <w:rFonts w:ascii="Times New Roman" w:hAnsi="Times New Roman"/>
          <w:szCs w:val="24"/>
        </w:rPr>
      </w:pPr>
      <w:r>
        <w:rPr>
          <w:rFonts w:ascii="Times New Roman" w:hAnsi="Times New Roman"/>
          <w:szCs w:val="24"/>
        </w:rPr>
        <w:t xml:space="preserve">The next poses are not significantly populated. </w:t>
      </w:r>
      <w:r w:rsidRPr="004973A2">
        <w:rPr>
          <w:rFonts w:ascii="Times New Roman" w:hAnsi="Times New Roman"/>
          <w:szCs w:val="24"/>
        </w:rPr>
        <w:t xml:space="preserve">In minimum 4 (−4.9 ± 0.8 kcal/mol), </w:t>
      </w:r>
      <w:r>
        <w:rPr>
          <w:rFonts w:ascii="Times New Roman" w:hAnsi="Times New Roman"/>
          <w:szCs w:val="24"/>
        </w:rPr>
        <w:t xml:space="preserve">which </w:t>
      </w:r>
      <w:r w:rsidRPr="004973A2">
        <w:rPr>
          <w:rFonts w:ascii="Times New Roman" w:hAnsi="Times New Roman"/>
          <w:b/>
          <w:bCs/>
          <w:szCs w:val="24"/>
        </w:rPr>
        <w:t>A</w:t>
      </w:r>
      <w:r w:rsidRPr="004973A2">
        <w:rPr>
          <w:rFonts w:ascii="Times New Roman" w:hAnsi="Times New Roman"/>
          <w:szCs w:val="24"/>
        </w:rPr>
        <w:t>’s tetralin group forms metastable interactions with Asp52 and Asn53; the thiophene ring forms polar interactions with Gln50, and the phenyl ring forms hydrophobic interactions with Leu47</w:t>
      </w:r>
      <w:r w:rsidRPr="004973A2">
        <w:rPr>
          <w:rFonts w:eastAsia="Times New Roman"/>
          <w:szCs w:val="24"/>
        </w:rPr>
        <w:t xml:space="preserve"> and </w:t>
      </w:r>
      <w:r w:rsidRPr="004973A2">
        <w:rPr>
          <w:rFonts w:ascii="Times New Roman" w:hAnsi="Times New Roman"/>
          <w:szCs w:val="24"/>
        </w:rPr>
        <w:t>Ile49, an</w:t>
      </w:r>
      <w:r>
        <w:rPr>
          <w:rFonts w:ascii="Times New Roman" w:hAnsi="Times New Roman"/>
          <w:szCs w:val="24"/>
        </w:rPr>
        <w:t xml:space="preserve">d, at times, </w:t>
      </w:r>
      <w:r w:rsidRPr="004973A2">
        <w:rPr>
          <w:rFonts w:ascii="Times New Roman" w:hAnsi="Times New Roman"/>
          <w:szCs w:val="24"/>
        </w:rPr>
        <w:t>with His48; in addition, the carbonyl oxygen forms an H-bond with Lys51</w:t>
      </w:r>
      <w:r>
        <w:rPr>
          <w:rFonts w:ascii="Times New Roman" w:hAnsi="Times New Roman"/>
          <w:szCs w:val="24"/>
        </w:rPr>
        <w:t>.</w:t>
      </w:r>
      <w:r w:rsidRPr="004973A2">
        <w:rPr>
          <w:rFonts w:ascii="Times New Roman" w:hAnsi="Times New Roman"/>
          <w:szCs w:val="24"/>
        </w:rPr>
        <w:t xml:space="preserve"> </w:t>
      </w:r>
    </w:p>
    <w:p w14:paraId="1555D0F1" w14:textId="77777777" w:rsidR="00FF380F" w:rsidRDefault="00FF380F" w:rsidP="00277388">
      <w:pPr>
        <w:pStyle w:val="TAMainText"/>
        <w:rPr>
          <w:rFonts w:ascii="Times New Roman" w:hAnsi="Times New Roman"/>
          <w:szCs w:val="24"/>
        </w:rPr>
      </w:pPr>
      <w:r w:rsidRPr="004973A2">
        <w:rPr>
          <w:rFonts w:ascii="Times New Roman" w:hAnsi="Times New Roman"/>
          <w:szCs w:val="24"/>
        </w:rPr>
        <w:lastRenderedPageBreak/>
        <w:t>In minimum 5</w:t>
      </w:r>
      <w:r>
        <w:rPr>
          <w:rStyle w:val="ae"/>
        </w:rPr>
        <w:footnoteReference w:id="4"/>
      </w:r>
      <w:r w:rsidRPr="004973A2">
        <w:rPr>
          <w:rFonts w:ascii="Times New Roman" w:hAnsi="Times New Roman"/>
          <w:szCs w:val="24"/>
        </w:rPr>
        <w:t xml:space="preserve"> (−4.8 ± 0.8 kcal/mol), the tetralin group interacts with Gly95 and Met44; the thiophene ring interact with Lys51 and Asp52; besides, the phenyl ring forms hydrophobic interactions with Leu47, and metastable interaction with His48; and the oxygen atoms of </w:t>
      </w:r>
      <w:r w:rsidRPr="004973A2">
        <w:rPr>
          <w:rFonts w:ascii="Times New Roman" w:hAnsi="Times New Roman"/>
          <w:b/>
          <w:bCs/>
          <w:szCs w:val="24"/>
        </w:rPr>
        <w:t>A</w:t>
      </w:r>
      <w:r w:rsidRPr="004973A2">
        <w:rPr>
          <w:rFonts w:ascii="Times New Roman" w:hAnsi="Times New Roman"/>
          <w:szCs w:val="24"/>
        </w:rPr>
        <w:t xml:space="preserve"> are formed H-bonds with solvent molecules. </w:t>
      </w:r>
    </w:p>
    <w:p w14:paraId="183D6D05" w14:textId="77777777" w:rsidR="00FF380F" w:rsidRPr="004973A2" w:rsidRDefault="00FF380F" w:rsidP="00277388">
      <w:pPr>
        <w:pStyle w:val="TAMainText"/>
        <w:rPr>
          <w:rFonts w:ascii="Times New Roman" w:hAnsi="Times New Roman"/>
          <w:szCs w:val="24"/>
        </w:rPr>
      </w:pPr>
      <w:r w:rsidRPr="004973A2">
        <w:rPr>
          <w:rFonts w:ascii="Times New Roman" w:hAnsi="Times New Roman"/>
          <w:szCs w:val="24"/>
        </w:rPr>
        <w:t xml:space="preserve">In minimum 6 (−4.0 ± 0.8 kcal/mol), the tetralin group forms metastable interactions with Lys78 while the benzene ring with Glu92 and Glu93, the thiophene ring with Lys89; its carboxylate and carbonyl oxygens form H-bonds with water molecules. </w:t>
      </w:r>
    </w:p>
    <w:p w14:paraId="078C0687" w14:textId="77777777" w:rsidR="00FF380F" w:rsidRPr="000B68C1" w:rsidRDefault="00FF380F" w:rsidP="00A74B79">
      <w:pPr>
        <w:pStyle w:val="TAMainText"/>
        <w:rPr>
          <w:noProof/>
          <w:sz w:val="16"/>
          <w:szCs w:val="16"/>
        </w:rPr>
      </w:pPr>
    </w:p>
    <w:p w14:paraId="21E314E1" w14:textId="77777777" w:rsidR="00FF380F" w:rsidRPr="000B68C1" w:rsidRDefault="00FF380F" w:rsidP="005F3738">
      <w:pPr>
        <w:pStyle w:val="TAMainText"/>
        <w:ind w:firstLine="0"/>
        <w:jc w:val="center"/>
        <w:rPr>
          <w:sz w:val="16"/>
          <w:szCs w:val="16"/>
        </w:rPr>
      </w:pPr>
      <w:r>
        <w:rPr>
          <w:noProof/>
          <w:sz w:val="16"/>
          <w:szCs w:val="16"/>
        </w:rPr>
        <w:lastRenderedPageBreak/>
        <w:drawing>
          <wp:inline distT="0" distB="0" distL="0" distR="0" wp14:anchorId="1895481B" wp14:editId="31FBF346">
            <wp:extent cx="5943600" cy="61036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6103620"/>
                    </a:xfrm>
                    <a:prstGeom prst="rect">
                      <a:avLst/>
                    </a:prstGeom>
                    <a:noFill/>
                    <a:ln>
                      <a:noFill/>
                    </a:ln>
                  </pic:spPr>
                </pic:pic>
              </a:graphicData>
            </a:graphic>
          </wp:inline>
        </w:drawing>
      </w:r>
    </w:p>
    <w:p w14:paraId="1FA4B92F" w14:textId="77777777" w:rsidR="00FF380F" w:rsidRPr="00B14B1B" w:rsidRDefault="00FF380F" w:rsidP="005E2645">
      <w:pPr>
        <w:pStyle w:val="VAFigureCaption"/>
        <w:rPr>
          <w:sz w:val="21"/>
          <w:szCs w:val="21"/>
        </w:rPr>
      </w:pPr>
      <w:r w:rsidRPr="00B14B1B">
        <w:rPr>
          <w:b/>
          <w:bCs/>
          <w:sz w:val="21"/>
          <w:szCs w:val="21"/>
        </w:rPr>
        <w:t xml:space="preserve">Figure </w:t>
      </w:r>
      <w:r>
        <w:rPr>
          <w:b/>
          <w:bCs/>
          <w:sz w:val="21"/>
          <w:szCs w:val="21"/>
        </w:rPr>
        <w:t>7</w:t>
      </w:r>
      <w:r w:rsidRPr="00B14B1B">
        <w:rPr>
          <w:b/>
          <w:bCs/>
          <w:sz w:val="21"/>
          <w:szCs w:val="21"/>
        </w:rPr>
        <w:t>. The ligand</w:t>
      </w:r>
      <w:r>
        <w:rPr>
          <w:b/>
          <w:bCs/>
          <w:sz w:val="21"/>
          <w:szCs w:val="21"/>
        </w:rPr>
        <w:t>/</w:t>
      </w:r>
      <w:r w:rsidRPr="00B14B1B">
        <w:rPr>
          <w:b/>
          <w:bCs/>
          <w:sz w:val="21"/>
          <w:szCs w:val="21"/>
        </w:rPr>
        <w:t xml:space="preserve">protein interactions </w:t>
      </w:r>
      <w:r>
        <w:rPr>
          <w:b/>
          <w:bCs/>
          <w:sz w:val="21"/>
          <w:szCs w:val="21"/>
        </w:rPr>
        <w:t>in</w:t>
      </w:r>
      <w:r w:rsidRPr="00B14B1B">
        <w:rPr>
          <w:b/>
          <w:bCs/>
          <w:sz w:val="21"/>
          <w:szCs w:val="21"/>
        </w:rPr>
        <w:t xml:space="preserve"> II at 310 K. </w:t>
      </w:r>
      <w:r w:rsidRPr="00B14B1B">
        <w:rPr>
          <w:sz w:val="21"/>
          <w:szCs w:val="21"/>
        </w:rPr>
        <w:t xml:space="preserve">The crystal binding pose is shown in the slate stick as a reference, while the representative binding poses are in orange. </w:t>
      </w:r>
    </w:p>
    <w:p w14:paraId="0D60F175" w14:textId="77777777" w:rsidR="00FF380F" w:rsidRPr="000B68C1" w:rsidRDefault="00FF380F" w:rsidP="00A74B79">
      <w:pPr>
        <w:pStyle w:val="TAMainText"/>
        <w:rPr>
          <w:b/>
          <w:bCs/>
          <w:sz w:val="16"/>
          <w:szCs w:val="16"/>
        </w:rPr>
      </w:pPr>
    </w:p>
    <w:p w14:paraId="5B1BBD84" w14:textId="77777777" w:rsidR="00FF380F" w:rsidRDefault="00FF380F" w:rsidP="00CC4AE5">
      <w:pPr>
        <w:pStyle w:val="TAMainText"/>
        <w:rPr>
          <w:szCs w:val="24"/>
        </w:rPr>
      </w:pPr>
      <w:r>
        <w:rPr>
          <w:szCs w:val="24"/>
        </w:rPr>
        <w:t>We finally</w:t>
      </w:r>
      <w:r w:rsidRPr="00B14B1B">
        <w:rPr>
          <w:szCs w:val="24"/>
        </w:rPr>
        <w:t xml:space="preserve"> focus on the effect of reduction (</w:t>
      </w:r>
      <w:r w:rsidRPr="00B14B1B">
        <w:rPr>
          <w:b/>
          <w:bCs/>
          <w:szCs w:val="24"/>
        </w:rPr>
        <w:t xml:space="preserve">III </w:t>
      </w:r>
      <w:r w:rsidRPr="00B14B1B">
        <w:rPr>
          <w:szCs w:val="24"/>
        </w:rPr>
        <w:t xml:space="preserve">and </w:t>
      </w:r>
      <w:r w:rsidRPr="00B14B1B">
        <w:rPr>
          <w:b/>
          <w:bCs/>
          <w:szCs w:val="24"/>
        </w:rPr>
        <w:t xml:space="preserve">IV </w:t>
      </w:r>
      <w:r w:rsidRPr="00B14B1B">
        <w:rPr>
          <w:szCs w:val="24"/>
        </w:rPr>
        <w:t>in Table 1</w:t>
      </w:r>
      <w:r w:rsidRPr="00B14B1B">
        <w:rPr>
          <w:b/>
          <w:bCs/>
          <w:szCs w:val="24"/>
        </w:rPr>
        <w:t>)</w:t>
      </w:r>
      <w:r w:rsidRPr="00B14B1B">
        <w:rPr>
          <w:szCs w:val="24"/>
        </w:rPr>
        <w:t>.</w:t>
      </w:r>
      <w:r w:rsidRPr="00B14B1B">
        <w:rPr>
          <w:b/>
          <w:bCs/>
          <w:szCs w:val="24"/>
        </w:rPr>
        <w:t xml:space="preserve"> </w:t>
      </w:r>
      <w:r w:rsidRPr="00B14B1B">
        <w:rPr>
          <w:szCs w:val="24"/>
        </w:rPr>
        <w:t>In the deprotonated form (</w:t>
      </w:r>
      <w:r w:rsidRPr="00B14B1B">
        <w:rPr>
          <w:b/>
          <w:szCs w:val="24"/>
        </w:rPr>
        <w:t>III</w:t>
      </w:r>
      <w:r w:rsidRPr="00B14B1B">
        <w:rPr>
          <w:szCs w:val="24"/>
        </w:rPr>
        <w:t xml:space="preserve">), the </w:t>
      </w:r>
      <w:r w:rsidRPr="00B14B1B">
        <w:rPr>
          <w:rFonts w:hint="eastAsia"/>
          <w:szCs w:val="24"/>
          <w:lang w:eastAsia="zh-CN"/>
        </w:rPr>
        <w:t>lowest</w:t>
      </w:r>
      <w:r w:rsidRPr="00B14B1B">
        <w:rPr>
          <w:szCs w:val="24"/>
        </w:rPr>
        <w:t xml:space="preserve"> </w:t>
      </w:r>
      <w:r>
        <w:rPr>
          <w:szCs w:val="24"/>
        </w:rPr>
        <w:t xml:space="preserve">binding free-energy </w:t>
      </w:r>
      <w:r w:rsidRPr="00B14B1B">
        <w:rPr>
          <w:szCs w:val="24"/>
        </w:rPr>
        <w:t xml:space="preserve">is similar to that of </w:t>
      </w:r>
      <w:r w:rsidRPr="00B14B1B">
        <w:rPr>
          <w:b/>
          <w:bCs/>
          <w:szCs w:val="24"/>
        </w:rPr>
        <w:t>I</w:t>
      </w:r>
      <w:r w:rsidRPr="00B14B1B">
        <w:rPr>
          <w:szCs w:val="24"/>
        </w:rPr>
        <w:t xml:space="preserve"> (−8.2 ± 0.8 kcal/mol</w:t>
      </w:r>
      <w:r>
        <w:rPr>
          <w:szCs w:val="24"/>
        </w:rPr>
        <w:t>,</w:t>
      </w:r>
      <w:r w:rsidRPr="00B14B1B">
        <w:rPr>
          <w:szCs w:val="24"/>
        </w:rPr>
        <w:t xml:space="preserve"> Table 3)</w:t>
      </w:r>
      <w:r>
        <w:rPr>
          <w:szCs w:val="24"/>
        </w:rPr>
        <w:t xml:space="preserve"> and the </w:t>
      </w:r>
      <w:r w:rsidRPr="00B14B1B">
        <w:rPr>
          <w:szCs w:val="24"/>
        </w:rPr>
        <w:t>free energy landscape features five minima (Fig</w:t>
      </w:r>
      <w:r>
        <w:rPr>
          <w:szCs w:val="24"/>
        </w:rPr>
        <w:t>.</w:t>
      </w:r>
      <w:r w:rsidRPr="00B14B1B">
        <w:rPr>
          <w:szCs w:val="24"/>
        </w:rPr>
        <w:t xml:space="preserve"> </w:t>
      </w:r>
      <w:r>
        <w:rPr>
          <w:szCs w:val="24"/>
        </w:rPr>
        <w:t>8</w:t>
      </w:r>
      <w:r w:rsidRPr="00B14B1B">
        <w:rPr>
          <w:szCs w:val="24"/>
        </w:rPr>
        <w:t xml:space="preserve"> and Table S</w:t>
      </w:r>
      <w:r>
        <w:rPr>
          <w:szCs w:val="24"/>
        </w:rPr>
        <w:t>7</w:t>
      </w:r>
      <w:r w:rsidRPr="00B14B1B">
        <w:rPr>
          <w:szCs w:val="24"/>
        </w:rPr>
        <w:t xml:space="preserve"> in SI). </w:t>
      </w:r>
    </w:p>
    <w:p w14:paraId="52424AA4" w14:textId="77777777" w:rsidR="00FF380F" w:rsidRDefault="00FF380F" w:rsidP="00CC4AE5">
      <w:pPr>
        <w:pStyle w:val="TAMainText"/>
        <w:rPr>
          <w:szCs w:val="24"/>
        </w:rPr>
      </w:pPr>
      <w:r w:rsidRPr="00B14B1B">
        <w:rPr>
          <w:szCs w:val="24"/>
        </w:rPr>
        <w:lastRenderedPageBreak/>
        <w:t>In minimum 1</w:t>
      </w:r>
      <w:r>
        <w:rPr>
          <w:szCs w:val="24"/>
        </w:rPr>
        <w:t>,</w:t>
      </w:r>
      <w:r w:rsidRPr="00B14B1B">
        <w:rPr>
          <w:szCs w:val="24"/>
        </w:rPr>
        <w:t xml:space="preserve"> the ligand binds at the L2 loop of the β-cap (Fig</w:t>
      </w:r>
      <w:r>
        <w:rPr>
          <w:szCs w:val="24"/>
        </w:rPr>
        <w:t>.</w:t>
      </w:r>
      <w:r w:rsidRPr="00B14B1B">
        <w:rPr>
          <w:szCs w:val="24"/>
        </w:rPr>
        <w:t xml:space="preserve"> </w:t>
      </w:r>
      <w:r>
        <w:rPr>
          <w:szCs w:val="24"/>
        </w:rPr>
        <w:t>8</w:t>
      </w:r>
      <w:r w:rsidRPr="00B14B1B">
        <w:rPr>
          <w:szCs w:val="24"/>
        </w:rPr>
        <w:t>). Specifically, the tetralin group forms polar metastable interactions with Glu63, Lys106, Glu107, and Thr108; its thiophene ring interacts with Met62 and Thr108 of another chain, and carbonyl oxygen forms an H-bond with Lys106 of another chain. The ligand is instead found bound to L1 and L3 loops in</w:t>
      </w:r>
      <w:r w:rsidRPr="00B14B1B">
        <w:rPr>
          <w:bCs/>
          <w:szCs w:val="24"/>
        </w:rPr>
        <w:t xml:space="preserve"> minima 2, 4 and 5</w:t>
      </w:r>
      <w:r w:rsidRPr="00B14B1B">
        <w:rPr>
          <w:szCs w:val="24"/>
        </w:rPr>
        <w:t xml:space="preserve">. </w:t>
      </w:r>
    </w:p>
    <w:p w14:paraId="54365FAD" w14:textId="77777777" w:rsidR="00FF380F" w:rsidRDefault="00FF380F" w:rsidP="00CC4AE5">
      <w:pPr>
        <w:pStyle w:val="TAMainText"/>
        <w:rPr>
          <w:szCs w:val="24"/>
        </w:rPr>
      </w:pPr>
      <w:r w:rsidRPr="00B14B1B">
        <w:rPr>
          <w:szCs w:val="24"/>
        </w:rPr>
        <w:t xml:space="preserve">In minimum 2 (−7.2 ± 0.8 kcal/mol), the tetralin group of </w:t>
      </w:r>
      <w:r w:rsidRPr="00B14B1B">
        <w:rPr>
          <w:b/>
          <w:bCs/>
          <w:szCs w:val="24"/>
        </w:rPr>
        <w:t>A</w:t>
      </w:r>
      <w:r w:rsidRPr="00B14B1B">
        <w:rPr>
          <w:szCs w:val="24"/>
        </w:rPr>
        <w:t xml:space="preserve"> forms hydrophobic interactions with Phe80 and Phe82, as well as</w:t>
      </w:r>
      <w:r>
        <w:rPr>
          <w:szCs w:val="24"/>
        </w:rPr>
        <w:t>, at times,</w:t>
      </w:r>
      <w:r w:rsidRPr="00B14B1B">
        <w:rPr>
          <w:szCs w:val="24"/>
        </w:rPr>
        <w:t xml:space="preserve"> interaction with Lys79; the thiophene ring forms interaction with Pro81 while the benzene ring interacts Ala59 and Phe60 as well as</w:t>
      </w:r>
      <w:r>
        <w:rPr>
          <w:szCs w:val="24"/>
        </w:rPr>
        <w:t>, at times,</w:t>
      </w:r>
      <w:r w:rsidRPr="00B14B1B">
        <w:rPr>
          <w:szCs w:val="24"/>
        </w:rPr>
        <w:t xml:space="preserve"> Asp61 and Asp64.</w:t>
      </w:r>
    </w:p>
    <w:p w14:paraId="4501517B" w14:textId="77777777" w:rsidR="00FF380F" w:rsidRDefault="00FF380F" w:rsidP="00543804">
      <w:pPr>
        <w:pStyle w:val="TAMainText"/>
        <w:rPr>
          <w:szCs w:val="24"/>
        </w:rPr>
      </w:pPr>
      <w:r w:rsidRPr="00B14B1B">
        <w:rPr>
          <w:b/>
          <w:bCs/>
          <w:szCs w:val="24"/>
        </w:rPr>
        <w:t>A</w:t>
      </w:r>
      <w:r w:rsidRPr="00B14B1B">
        <w:rPr>
          <w:szCs w:val="24"/>
        </w:rPr>
        <w:t xml:space="preserve"> binds to the </w:t>
      </w:r>
      <w:r w:rsidRPr="00B14B1B">
        <w:rPr>
          <w:rFonts w:ascii="Times New Roman" w:hAnsi="Times New Roman"/>
          <w:szCs w:val="24"/>
        </w:rPr>
        <w:t>β</w:t>
      </w:r>
      <w:r w:rsidRPr="00B14B1B">
        <w:rPr>
          <w:szCs w:val="24"/>
        </w:rPr>
        <w:t>-sheets in minimum 3 (−7.1 ± 0.8 kcal/mol); the tetralin moiety forms π</w:t>
      </w:r>
      <w:r w:rsidRPr="00B14B1B">
        <w:rPr>
          <w:rFonts w:hint="eastAsia"/>
          <w:szCs w:val="24"/>
        </w:rPr>
        <w:t>-</w:t>
      </w:r>
      <w:r w:rsidRPr="00B14B1B">
        <w:rPr>
          <w:szCs w:val="24"/>
        </w:rPr>
        <w:t>cation interactions with Lys104, hydrophobic interactions with Ala59, and metastable interactions with Asp61 and mainchain of Phe60; the thiophene ring forms hydrophobic interactions with Val57 and Ile102; the carboxylate oxygens form a salt bridge with Lys68; and the phenyl moiety forms hydrophobic interactions with Val70, Pro100, and</w:t>
      </w:r>
      <w:r>
        <w:rPr>
          <w:szCs w:val="24"/>
        </w:rPr>
        <w:t xml:space="preserve">, at times, </w:t>
      </w:r>
      <w:r w:rsidRPr="00B14B1B">
        <w:rPr>
          <w:szCs w:val="24"/>
        </w:rPr>
        <w:t>with His87.</w:t>
      </w:r>
    </w:p>
    <w:p w14:paraId="5E9FA928" w14:textId="77777777" w:rsidR="00FF380F" w:rsidRDefault="00FF380F" w:rsidP="00CC4AE5">
      <w:pPr>
        <w:pStyle w:val="TAMainText"/>
        <w:rPr>
          <w:szCs w:val="24"/>
        </w:rPr>
      </w:pPr>
      <w:r w:rsidRPr="00B14B1B">
        <w:rPr>
          <w:szCs w:val="24"/>
        </w:rPr>
        <w:t>In minimum 4 (5)</w:t>
      </w:r>
      <w:r>
        <w:rPr>
          <w:rStyle w:val="ae"/>
        </w:rPr>
        <w:footnoteReference w:id="5"/>
      </w:r>
      <w:r w:rsidRPr="00B14B1B">
        <w:rPr>
          <w:szCs w:val="24"/>
        </w:rPr>
        <w:t xml:space="preserve"> (both −6.2 ± 0.8 kcal/mol), the tetralin forms hydrophobic interactions with Ala43 and Met44 (</w:t>
      </w:r>
      <w:r>
        <w:rPr>
          <w:szCs w:val="24"/>
        </w:rPr>
        <w:t>it interacts, at times,</w:t>
      </w:r>
      <w:r w:rsidRPr="00B14B1B">
        <w:rPr>
          <w:szCs w:val="24"/>
        </w:rPr>
        <w:t xml:space="preserve"> with Lys89); the thiophene ring forms interactions with Thr94 and Gly95 (</w:t>
      </w:r>
      <w:r>
        <w:rPr>
          <w:szCs w:val="24"/>
        </w:rPr>
        <w:t xml:space="preserve">with </w:t>
      </w:r>
      <w:r w:rsidRPr="00B14B1B">
        <w:rPr>
          <w:szCs w:val="24"/>
        </w:rPr>
        <w:t>Glu92 and Glu93); and the benzene ring</w:t>
      </w:r>
      <w:r>
        <w:rPr>
          <w:szCs w:val="24"/>
        </w:rPr>
        <w:t>,</w:t>
      </w:r>
      <w:r w:rsidRPr="00B14B1B">
        <w:rPr>
          <w:szCs w:val="24"/>
        </w:rPr>
        <w:t xml:space="preserve"> </w:t>
      </w:r>
      <w:r>
        <w:rPr>
          <w:szCs w:val="24"/>
        </w:rPr>
        <w:t>at times,</w:t>
      </w:r>
      <w:r w:rsidRPr="00B14B1B">
        <w:rPr>
          <w:szCs w:val="24"/>
        </w:rPr>
        <w:t xml:space="preserve"> interacts with the mainchain of Glu92 and Glu93.</w:t>
      </w:r>
      <w:r>
        <w:rPr>
          <w:szCs w:val="24"/>
        </w:rPr>
        <w:t xml:space="preserve"> </w:t>
      </w:r>
    </w:p>
    <w:p w14:paraId="2E295CB1" w14:textId="77777777" w:rsidR="00FF380F" w:rsidRPr="000B68C1" w:rsidRDefault="00FF380F" w:rsidP="00DF7177">
      <w:pPr>
        <w:spacing w:line="360" w:lineRule="auto"/>
        <w:rPr>
          <w:rFonts w:ascii="Times New Roman" w:hAnsi="Times New Roman"/>
          <w:sz w:val="16"/>
          <w:szCs w:val="16"/>
        </w:rPr>
      </w:pPr>
    </w:p>
    <w:p w14:paraId="03D5C121" w14:textId="77777777" w:rsidR="00FF380F" w:rsidRPr="000B68C1" w:rsidRDefault="00FF380F" w:rsidP="00DB03AD">
      <w:pPr>
        <w:pStyle w:val="TAMainText"/>
        <w:ind w:firstLine="0"/>
        <w:jc w:val="center"/>
        <w:rPr>
          <w:sz w:val="16"/>
          <w:szCs w:val="16"/>
        </w:rPr>
      </w:pPr>
      <w:r>
        <w:rPr>
          <w:noProof/>
          <w:sz w:val="16"/>
          <w:szCs w:val="16"/>
        </w:rPr>
        <w:lastRenderedPageBreak/>
        <w:drawing>
          <wp:inline distT="0" distB="0" distL="0" distR="0" wp14:anchorId="29B09880" wp14:editId="76D738B1">
            <wp:extent cx="5935980" cy="6111240"/>
            <wp:effectExtent l="0" t="0" r="762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5980" cy="6111240"/>
                    </a:xfrm>
                    <a:prstGeom prst="rect">
                      <a:avLst/>
                    </a:prstGeom>
                    <a:noFill/>
                    <a:ln>
                      <a:noFill/>
                    </a:ln>
                  </pic:spPr>
                </pic:pic>
              </a:graphicData>
            </a:graphic>
          </wp:inline>
        </w:drawing>
      </w:r>
    </w:p>
    <w:p w14:paraId="3A5EC5C3" w14:textId="77777777" w:rsidR="00FF380F" w:rsidRPr="00B14B1B" w:rsidRDefault="00FF380F" w:rsidP="00072550">
      <w:pPr>
        <w:pStyle w:val="VAFigureCaption"/>
        <w:rPr>
          <w:sz w:val="21"/>
          <w:szCs w:val="21"/>
        </w:rPr>
      </w:pPr>
      <w:r w:rsidRPr="00B14B1B">
        <w:rPr>
          <w:b/>
          <w:bCs/>
          <w:sz w:val="21"/>
          <w:szCs w:val="21"/>
        </w:rPr>
        <w:t xml:space="preserve">Figure </w:t>
      </w:r>
      <w:r>
        <w:rPr>
          <w:b/>
          <w:bCs/>
          <w:sz w:val="21"/>
          <w:szCs w:val="21"/>
        </w:rPr>
        <w:t>8</w:t>
      </w:r>
      <w:r w:rsidRPr="00B14B1B">
        <w:rPr>
          <w:b/>
          <w:bCs/>
          <w:sz w:val="21"/>
          <w:szCs w:val="21"/>
        </w:rPr>
        <w:t>. The ligand</w:t>
      </w:r>
      <w:r>
        <w:rPr>
          <w:b/>
          <w:bCs/>
          <w:sz w:val="21"/>
          <w:szCs w:val="21"/>
        </w:rPr>
        <w:t>/</w:t>
      </w:r>
      <w:r w:rsidRPr="00B14B1B">
        <w:rPr>
          <w:b/>
          <w:bCs/>
          <w:sz w:val="21"/>
          <w:szCs w:val="21"/>
        </w:rPr>
        <w:t xml:space="preserve">protein interactions of A bound to III at 310 K. </w:t>
      </w:r>
      <w:r w:rsidRPr="00B14B1B">
        <w:rPr>
          <w:sz w:val="21"/>
          <w:szCs w:val="21"/>
        </w:rPr>
        <w:t>The crystal binding pose is shown in the slate stick as a reference, while the representative binding poses are in orange.</w:t>
      </w:r>
    </w:p>
    <w:p w14:paraId="60D59B36" w14:textId="77777777" w:rsidR="00FF380F" w:rsidRDefault="00FF380F" w:rsidP="00F645FA">
      <w:pPr>
        <w:pStyle w:val="TAMainText"/>
        <w:ind w:firstLine="0"/>
        <w:rPr>
          <w:szCs w:val="24"/>
        </w:rPr>
      </w:pPr>
    </w:p>
    <w:p w14:paraId="7DB04A7E" w14:textId="77777777" w:rsidR="00FF380F" w:rsidRDefault="00FF380F" w:rsidP="00F645FA">
      <w:pPr>
        <w:pStyle w:val="TAMainText"/>
        <w:rPr>
          <w:szCs w:val="24"/>
        </w:rPr>
      </w:pPr>
      <w:r w:rsidRPr="00B14B1B">
        <w:rPr>
          <w:szCs w:val="24"/>
        </w:rPr>
        <w:t xml:space="preserve">Protonation of the Fe-bound histidine (complex </w:t>
      </w:r>
      <w:r w:rsidRPr="00B14B1B">
        <w:rPr>
          <w:b/>
          <w:bCs/>
          <w:szCs w:val="24"/>
        </w:rPr>
        <w:t xml:space="preserve">IV </w:t>
      </w:r>
      <w:r w:rsidRPr="00B14B1B">
        <w:rPr>
          <w:szCs w:val="24"/>
        </w:rPr>
        <w:t>in Fig</w:t>
      </w:r>
      <w:r>
        <w:rPr>
          <w:szCs w:val="24"/>
        </w:rPr>
        <w:t>.</w:t>
      </w:r>
      <w:r w:rsidRPr="00B14B1B">
        <w:rPr>
          <w:szCs w:val="24"/>
        </w:rPr>
        <w:t xml:space="preserve"> </w:t>
      </w:r>
      <w:r>
        <w:rPr>
          <w:szCs w:val="24"/>
        </w:rPr>
        <w:t>9</w:t>
      </w:r>
      <w:r w:rsidRPr="00B14B1B">
        <w:rPr>
          <w:szCs w:val="24"/>
        </w:rPr>
        <w:t>, Table S</w:t>
      </w:r>
      <w:r>
        <w:rPr>
          <w:szCs w:val="24"/>
        </w:rPr>
        <w:t>8</w:t>
      </w:r>
      <w:r w:rsidRPr="00B14B1B">
        <w:rPr>
          <w:szCs w:val="24"/>
        </w:rPr>
        <w:t xml:space="preserve"> in SI), decreases the lowest binding free energy (Table 3). Here, the ligand binds to the [2Fe</w:t>
      </w:r>
      <w:r w:rsidRPr="00B14B1B">
        <w:rPr>
          <w:rFonts w:eastAsia="Times New Roman"/>
          <w:szCs w:val="24"/>
        </w:rPr>
        <w:t>–</w:t>
      </w:r>
      <w:r w:rsidRPr="00B14B1B">
        <w:rPr>
          <w:szCs w:val="24"/>
        </w:rPr>
        <w:t xml:space="preserve">2S] cluster region and to the L1/L3 loops. </w:t>
      </w:r>
      <w:r w:rsidRPr="00B14B1B">
        <w:rPr>
          <w:bCs/>
          <w:szCs w:val="24"/>
        </w:rPr>
        <w:t xml:space="preserve">In </w:t>
      </w:r>
      <w:r>
        <w:rPr>
          <w:bCs/>
          <w:szCs w:val="24"/>
        </w:rPr>
        <w:t>m</w:t>
      </w:r>
      <w:r w:rsidRPr="00B14B1B">
        <w:rPr>
          <w:bCs/>
          <w:szCs w:val="24"/>
        </w:rPr>
        <w:t xml:space="preserve">inimum </w:t>
      </w:r>
      <w:r>
        <w:rPr>
          <w:bCs/>
          <w:szCs w:val="24"/>
        </w:rPr>
        <w:t>1 (</w:t>
      </w:r>
      <w:r w:rsidRPr="00B14B1B">
        <w:rPr>
          <w:szCs w:val="24"/>
        </w:rPr>
        <w:t>−7.5 ± 0.8 kcal/mol</w:t>
      </w:r>
      <w:r w:rsidRPr="00B14B1B">
        <w:rPr>
          <w:bCs/>
          <w:szCs w:val="24"/>
        </w:rPr>
        <w:t>), the</w:t>
      </w:r>
      <w:r w:rsidRPr="00B14B1B">
        <w:rPr>
          <w:szCs w:val="24"/>
        </w:rPr>
        <w:t xml:space="preserve"> tetralin group forms </w:t>
      </w:r>
      <w:r w:rsidRPr="00B14B1B">
        <w:rPr>
          <w:szCs w:val="24"/>
        </w:rPr>
        <w:lastRenderedPageBreak/>
        <w:t>hydrophobic interactions with Val57, Val70, Cys83, Pro100, and Ile102; the thiophene ring interacts with Gly85</w:t>
      </w:r>
      <w:r>
        <w:rPr>
          <w:szCs w:val="24"/>
        </w:rPr>
        <w:t>;</w:t>
      </w:r>
      <w:r w:rsidRPr="00B14B1B">
        <w:rPr>
          <w:szCs w:val="24"/>
        </w:rPr>
        <w:t xml:space="preserve"> the phenyl ring forms a π-cation interaction with Lys89; </w:t>
      </w:r>
      <w:r>
        <w:rPr>
          <w:szCs w:val="24"/>
        </w:rPr>
        <w:t>the</w:t>
      </w:r>
      <w:r w:rsidRPr="00B14B1B">
        <w:rPr>
          <w:szCs w:val="24"/>
        </w:rPr>
        <w:t xml:space="preserve"> carboxylate moiety forms a salt bridge with Lys55</w:t>
      </w:r>
      <w:r>
        <w:rPr>
          <w:szCs w:val="24"/>
        </w:rPr>
        <w:t>,</w:t>
      </w:r>
      <w:r w:rsidRPr="00B14B1B">
        <w:rPr>
          <w:szCs w:val="24"/>
        </w:rPr>
        <w:t xml:space="preserve"> </w:t>
      </w:r>
      <w:r>
        <w:rPr>
          <w:szCs w:val="24"/>
        </w:rPr>
        <w:t>along with</w:t>
      </w:r>
      <w:r w:rsidRPr="00B14B1B">
        <w:rPr>
          <w:szCs w:val="24"/>
        </w:rPr>
        <w:t xml:space="preserve"> H-bonds with His87, Thr88. </w:t>
      </w:r>
    </w:p>
    <w:p w14:paraId="6F26C8D8" w14:textId="77777777" w:rsidR="00FF380F" w:rsidRDefault="00FF380F" w:rsidP="00F645FA">
      <w:pPr>
        <w:pStyle w:val="TAMainText"/>
        <w:rPr>
          <w:szCs w:val="24"/>
        </w:rPr>
      </w:pPr>
      <w:r w:rsidRPr="00B14B1B">
        <w:rPr>
          <w:szCs w:val="24"/>
        </w:rPr>
        <w:t>In minimum 2 (−6.6 ± 0.8 kcal/mol), the tetralin group interacts</w:t>
      </w:r>
      <w:r>
        <w:rPr>
          <w:szCs w:val="24"/>
        </w:rPr>
        <w:t>, at times,</w:t>
      </w:r>
      <w:r w:rsidRPr="00B14B1B">
        <w:rPr>
          <w:szCs w:val="24"/>
        </w:rPr>
        <w:t xml:space="preserve"> with His48, Arg76 and Trp75; and the carbonyl oxygen forms H-bond with three water molecules in which one also forms H-bonds with Lys78. </w:t>
      </w:r>
    </w:p>
    <w:p w14:paraId="3DF3F716" w14:textId="77777777" w:rsidR="00FF380F" w:rsidRDefault="00FF380F" w:rsidP="00F645FA">
      <w:pPr>
        <w:pStyle w:val="TAMainText"/>
        <w:rPr>
          <w:szCs w:val="24"/>
        </w:rPr>
      </w:pPr>
      <w:r w:rsidRPr="00B14B1B">
        <w:rPr>
          <w:szCs w:val="24"/>
        </w:rPr>
        <w:t xml:space="preserve">In minimum 3 (−5.6 ± 0.8 kcal/mol), </w:t>
      </w:r>
      <w:r w:rsidRPr="00F645FA">
        <w:rPr>
          <w:szCs w:val="24"/>
        </w:rPr>
        <w:t xml:space="preserve">the </w:t>
      </w:r>
      <w:r w:rsidRPr="00B14B1B">
        <w:rPr>
          <w:szCs w:val="24"/>
        </w:rPr>
        <w:t xml:space="preserve">tetralin group forms hydrophobic interactions with Ala69, Val70, Cys83 and metastable interactions with Lys68; the thiophene ring forms a π-π stacking with Phe82, and polar </w:t>
      </w:r>
      <w:proofErr w:type="spellStart"/>
      <w:r w:rsidRPr="00B14B1B">
        <w:rPr>
          <w:szCs w:val="24"/>
        </w:rPr>
        <w:t>vdW</w:t>
      </w:r>
      <w:proofErr w:type="spellEnd"/>
      <w:r w:rsidRPr="00B14B1B">
        <w:rPr>
          <w:szCs w:val="24"/>
        </w:rPr>
        <w:t xml:space="preserve"> interaction with the mainchain of Leu65; </w:t>
      </w:r>
      <w:r>
        <w:rPr>
          <w:szCs w:val="24"/>
        </w:rPr>
        <w:t>the</w:t>
      </w:r>
      <w:r w:rsidRPr="00B14B1B">
        <w:rPr>
          <w:szCs w:val="24"/>
        </w:rPr>
        <w:t xml:space="preserve"> carboxylate oxygen forms a salt bridge with Lys79. </w:t>
      </w:r>
    </w:p>
    <w:p w14:paraId="535AE121" w14:textId="77777777" w:rsidR="00FF380F" w:rsidRDefault="00FF380F" w:rsidP="00F645FA">
      <w:pPr>
        <w:pStyle w:val="TAMainText"/>
        <w:rPr>
          <w:szCs w:val="24"/>
        </w:rPr>
      </w:pPr>
      <w:r w:rsidRPr="00B14B1B">
        <w:rPr>
          <w:szCs w:val="24"/>
        </w:rPr>
        <w:t>In minimum 4 (−5.2 ± 0.8 kcal/mol), the tetralin moiety forms hydrophobic interactions with Pro54</w:t>
      </w:r>
      <w:r>
        <w:rPr>
          <w:szCs w:val="24"/>
        </w:rPr>
        <w:t>. It interacts, at times,</w:t>
      </w:r>
      <w:r w:rsidRPr="00B14B1B">
        <w:rPr>
          <w:szCs w:val="24"/>
        </w:rPr>
        <w:t xml:space="preserve"> with Asn53 and mainchain of Lys55</w:t>
      </w:r>
      <w:r>
        <w:rPr>
          <w:szCs w:val="24"/>
        </w:rPr>
        <w:t>;</w:t>
      </w:r>
      <w:r w:rsidRPr="00B14B1B">
        <w:rPr>
          <w:szCs w:val="24"/>
        </w:rPr>
        <w:t xml:space="preserve"> </w:t>
      </w:r>
      <w:r>
        <w:rPr>
          <w:szCs w:val="24"/>
        </w:rPr>
        <w:t>t</w:t>
      </w:r>
      <w:r w:rsidRPr="00B14B1B">
        <w:rPr>
          <w:szCs w:val="24"/>
        </w:rPr>
        <w:t xml:space="preserve">he thiophene ring interacts with Gln50 and Asp52. </w:t>
      </w:r>
    </w:p>
    <w:p w14:paraId="607B9C88" w14:textId="77777777" w:rsidR="00FF380F" w:rsidRPr="00B14B1B" w:rsidRDefault="00FF380F" w:rsidP="00F645FA">
      <w:pPr>
        <w:pStyle w:val="TAMainText"/>
        <w:rPr>
          <w:szCs w:val="24"/>
        </w:rPr>
      </w:pPr>
      <w:r w:rsidRPr="00B14B1B">
        <w:rPr>
          <w:szCs w:val="24"/>
        </w:rPr>
        <w:t xml:space="preserve">In minimum 5 (−4.4 ± 0.8 kcal/mol), </w:t>
      </w:r>
      <w:r w:rsidRPr="00B8467B">
        <w:rPr>
          <w:b/>
          <w:bCs/>
          <w:szCs w:val="24"/>
        </w:rPr>
        <w:t>A</w:t>
      </w:r>
      <w:r w:rsidRPr="00B14B1B">
        <w:rPr>
          <w:szCs w:val="24"/>
        </w:rPr>
        <w:t xml:space="preserve"> binds with the L1 loop. Its thiophene ring forms hydrophobic interactions with Pro54; and the benzene ring forms polar </w:t>
      </w:r>
      <w:proofErr w:type="spellStart"/>
      <w:r w:rsidRPr="00B14B1B">
        <w:rPr>
          <w:szCs w:val="24"/>
        </w:rPr>
        <w:t>vdW</w:t>
      </w:r>
      <w:proofErr w:type="spellEnd"/>
      <w:r w:rsidRPr="00B14B1B">
        <w:rPr>
          <w:szCs w:val="24"/>
        </w:rPr>
        <w:t xml:space="preserve"> interactions with Gln50 and Asn53, and a metastable interaction with Asp52.</w:t>
      </w:r>
    </w:p>
    <w:p w14:paraId="0130FCAE" w14:textId="77777777" w:rsidR="00FF380F" w:rsidRDefault="00FF380F" w:rsidP="00DB03AD">
      <w:pPr>
        <w:pStyle w:val="TAMainText"/>
        <w:ind w:firstLine="0"/>
        <w:rPr>
          <w:noProof/>
          <w:sz w:val="16"/>
          <w:szCs w:val="16"/>
        </w:rPr>
      </w:pPr>
    </w:p>
    <w:p w14:paraId="4F5A4892" w14:textId="77777777" w:rsidR="00FF380F" w:rsidRPr="000B68C1" w:rsidRDefault="00FF380F" w:rsidP="00DB03AD">
      <w:pPr>
        <w:pStyle w:val="TAMainText"/>
        <w:ind w:firstLine="0"/>
        <w:jc w:val="center"/>
        <w:rPr>
          <w:sz w:val="16"/>
          <w:szCs w:val="16"/>
        </w:rPr>
      </w:pPr>
      <w:r>
        <w:rPr>
          <w:noProof/>
          <w:sz w:val="16"/>
          <w:szCs w:val="16"/>
        </w:rPr>
        <w:lastRenderedPageBreak/>
        <w:drawing>
          <wp:inline distT="0" distB="0" distL="0" distR="0" wp14:anchorId="39A6E878" wp14:editId="53311B55">
            <wp:extent cx="5935980" cy="5974080"/>
            <wp:effectExtent l="0" t="0" r="762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5980" cy="5974080"/>
                    </a:xfrm>
                    <a:prstGeom prst="rect">
                      <a:avLst/>
                    </a:prstGeom>
                    <a:noFill/>
                    <a:ln>
                      <a:noFill/>
                    </a:ln>
                  </pic:spPr>
                </pic:pic>
              </a:graphicData>
            </a:graphic>
          </wp:inline>
        </w:drawing>
      </w:r>
    </w:p>
    <w:p w14:paraId="559EED12" w14:textId="77777777" w:rsidR="00FF380F" w:rsidRPr="00D60D8B" w:rsidRDefault="00FF380F" w:rsidP="00072550">
      <w:pPr>
        <w:pStyle w:val="VAFigureCaption"/>
        <w:rPr>
          <w:sz w:val="21"/>
          <w:szCs w:val="21"/>
        </w:rPr>
      </w:pPr>
      <w:r w:rsidRPr="00D60D8B">
        <w:rPr>
          <w:b/>
          <w:bCs/>
          <w:sz w:val="21"/>
          <w:szCs w:val="21"/>
        </w:rPr>
        <w:t xml:space="preserve">Figure </w:t>
      </w:r>
      <w:r>
        <w:rPr>
          <w:b/>
          <w:bCs/>
          <w:sz w:val="21"/>
          <w:szCs w:val="21"/>
        </w:rPr>
        <w:t>9</w:t>
      </w:r>
      <w:r w:rsidRPr="00D60D8B">
        <w:rPr>
          <w:b/>
          <w:bCs/>
          <w:sz w:val="21"/>
          <w:szCs w:val="21"/>
        </w:rPr>
        <w:t>. The ligand</w:t>
      </w:r>
      <w:r>
        <w:rPr>
          <w:b/>
          <w:bCs/>
          <w:sz w:val="21"/>
          <w:szCs w:val="21"/>
        </w:rPr>
        <w:t>/</w:t>
      </w:r>
      <w:r w:rsidRPr="00D60D8B">
        <w:rPr>
          <w:b/>
          <w:bCs/>
          <w:sz w:val="21"/>
          <w:szCs w:val="21"/>
        </w:rPr>
        <w:t xml:space="preserve">protein interactions of A bound to IV at 310 K. </w:t>
      </w:r>
      <w:r w:rsidRPr="00D60D8B">
        <w:rPr>
          <w:sz w:val="21"/>
          <w:szCs w:val="21"/>
        </w:rPr>
        <w:t>The crystal binding pose is shown in the slate stick as a reference, while the representative binding poses are shown in orange.</w:t>
      </w:r>
    </w:p>
    <w:p w14:paraId="4CF99D49" w14:textId="77777777" w:rsidR="00FF380F" w:rsidRPr="00B8467B" w:rsidRDefault="00FF380F" w:rsidP="00DF7177">
      <w:pPr>
        <w:rPr>
          <w:rFonts w:ascii="Times New Roman" w:hAnsi="Times New Roman"/>
          <w:sz w:val="21"/>
          <w:szCs w:val="21"/>
        </w:rPr>
      </w:pPr>
    </w:p>
    <w:p w14:paraId="1F13D9E1" w14:textId="77777777" w:rsidR="00FF380F" w:rsidRPr="00B8467B" w:rsidRDefault="00FF380F" w:rsidP="00072550">
      <w:pPr>
        <w:pStyle w:val="VDTableTitle"/>
        <w:rPr>
          <w:b/>
          <w:bCs/>
          <w:sz w:val="21"/>
          <w:szCs w:val="21"/>
        </w:rPr>
      </w:pPr>
      <w:r w:rsidRPr="00B8467B">
        <w:rPr>
          <w:rFonts w:hint="eastAsia"/>
          <w:b/>
          <w:bCs/>
          <w:sz w:val="21"/>
          <w:szCs w:val="21"/>
        </w:rPr>
        <w:t>T</w:t>
      </w:r>
      <w:r w:rsidRPr="00B8467B">
        <w:rPr>
          <w:b/>
          <w:bCs/>
          <w:sz w:val="21"/>
          <w:szCs w:val="21"/>
        </w:rPr>
        <w:t xml:space="preserve">able 3. The lowest binding free energy of A bound to </w:t>
      </w:r>
      <w:proofErr w:type="spellStart"/>
      <w:r w:rsidRPr="00B8467B">
        <w:rPr>
          <w:b/>
          <w:bCs/>
          <w:sz w:val="21"/>
          <w:szCs w:val="21"/>
        </w:rPr>
        <w:t>mNT</w:t>
      </w:r>
      <w:proofErr w:type="spellEnd"/>
      <w:r w:rsidRPr="00B8467B">
        <w:rPr>
          <w:b/>
          <w:bCs/>
          <w:sz w:val="21"/>
          <w:szCs w:val="21"/>
        </w:rPr>
        <w:t xml:space="preserve"> at 310 K</w:t>
      </w:r>
    </w:p>
    <w:tbl>
      <w:tblPr>
        <w:tblW w:w="0" w:type="auto"/>
        <w:jc w:val="center"/>
        <w:tblLook w:val="0420" w:firstRow="1" w:lastRow="0" w:firstColumn="0" w:lastColumn="0" w:noHBand="0" w:noVBand="1"/>
      </w:tblPr>
      <w:tblGrid>
        <w:gridCol w:w="986"/>
        <w:gridCol w:w="3459"/>
      </w:tblGrid>
      <w:tr w:rsidR="00FF380F" w:rsidRPr="00B8467B" w14:paraId="12737E0A" w14:textId="77777777" w:rsidTr="001C514D">
        <w:trPr>
          <w:trHeight w:val="57"/>
          <w:jc w:val="center"/>
        </w:trPr>
        <w:tc>
          <w:tcPr>
            <w:tcW w:w="0" w:type="auto"/>
            <w:tcBorders>
              <w:top w:val="single" w:sz="4" w:space="0" w:color="auto"/>
              <w:bottom w:val="single" w:sz="4" w:space="0" w:color="auto"/>
            </w:tcBorders>
            <w:shd w:val="clear" w:color="auto" w:fill="auto"/>
            <w:vAlign w:val="center"/>
            <w:hideMark/>
          </w:tcPr>
          <w:p w14:paraId="579A56D7" w14:textId="77777777" w:rsidR="00FF380F" w:rsidRPr="00B8467B" w:rsidRDefault="00FF380F" w:rsidP="001C514D">
            <w:pPr>
              <w:pStyle w:val="TCTableBody"/>
              <w:jc w:val="center"/>
              <w:rPr>
                <w:sz w:val="21"/>
                <w:szCs w:val="21"/>
              </w:rPr>
            </w:pPr>
            <w:r w:rsidRPr="00B8467B">
              <w:rPr>
                <w:rFonts w:hint="eastAsia"/>
                <w:sz w:val="21"/>
                <w:szCs w:val="21"/>
              </w:rPr>
              <w:t>Complex</w:t>
            </w:r>
          </w:p>
        </w:tc>
        <w:tc>
          <w:tcPr>
            <w:tcW w:w="0" w:type="auto"/>
            <w:tcBorders>
              <w:top w:val="single" w:sz="4" w:space="0" w:color="auto"/>
              <w:bottom w:val="single" w:sz="4" w:space="0" w:color="auto"/>
            </w:tcBorders>
            <w:shd w:val="clear" w:color="auto" w:fill="auto"/>
            <w:vAlign w:val="center"/>
            <w:hideMark/>
          </w:tcPr>
          <w:p w14:paraId="57026898" w14:textId="77777777" w:rsidR="00FF380F" w:rsidRPr="00B8467B" w:rsidRDefault="00FF380F" w:rsidP="001C514D">
            <w:pPr>
              <w:pStyle w:val="TCTableBody"/>
              <w:jc w:val="center"/>
              <w:rPr>
                <w:sz w:val="21"/>
                <w:szCs w:val="21"/>
              </w:rPr>
            </w:pPr>
            <w:r w:rsidRPr="00B8467B">
              <w:rPr>
                <w:sz w:val="21"/>
                <w:szCs w:val="21"/>
              </w:rPr>
              <w:t>Lowest b</w:t>
            </w:r>
            <w:r w:rsidRPr="00B8467B">
              <w:rPr>
                <w:rFonts w:hint="eastAsia"/>
                <w:sz w:val="21"/>
                <w:szCs w:val="21"/>
              </w:rPr>
              <w:t>inding free energy (kcal/mol)</w:t>
            </w:r>
          </w:p>
        </w:tc>
      </w:tr>
      <w:tr w:rsidR="00FF380F" w:rsidRPr="00B8467B" w14:paraId="4356B9BE" w14:textId="77777777" w:rsidTr="001C514D">
        <w:trPr>
          <w:trHeight w:val="57"/>
          <w:jc w:val="center"/>
        </w:trPr>
        <w:tc>
          <w:tcPr>
            <w:tcW w:w="0" w:type="auto"/>
            <w:tcBorders>
              <w:top w:val="single" w:sz="4" w:space="0" w:color="auto"/>
            </w:tcBorders>
            <w:shd w:val="clear" w:color="auto" w:fill="auto"/>
            <w:vAlign w:val="center"/>
            <w:hideMark/>
          </w:tcPr>
          <w:p w14:paraId="73B711E8" w14:textId="77777777" w:rsidR="00FF380F" w:rsidRPr="00B8467B" w:rsidRDefault="00FF380F" w:rsidP="001C514D">
            <w:pPr>
              <w:pStyle w:val="TCTableBody"/>
              <w:jc w:val="center"/>
              <w:rPr>
                <w:b/>
                <w:bCs/>
                <w:sz w:val="21"/>
                <w:szCs w:val="21"/>
              </w:rPr>
            </w:pPr>
            <w:r w:rsidRPr="00B8467B">
              <w:rPr>
                <w:rFonts w:hint="eastAsia"/>
                <w:b/>
                <w:bCs/>
                <w:sz w:val="21"/>
                <w:szCs w:val="21"/>
              </w:rPr>
              <w:t>I</w:t>
            </w:r>
          </w:p>
        </w:tc>
        <w:tc>
          <w:tcPr>
            <w:tcW w:w="0" w:type="auto"/>
            <w:tcBorders>
              <w:top w:val="single" w:sz="4" w:space="0" w:color="auto"/>
            </w:tcBorders>
            <w:shd w:val="clear" w:color="auto" w:fill="auto"/>
            <w:vAlign w:val="center"/>
            <w:hideMark/>
          </w:tcPr>
          <w:p w14:paraId="5136EE09" w14:textId="77777777" w:rsidR="00FF380F" w:rsidRPr="00B8467B" w:rsidRDefault="00FF380F" w:rsidP="001C514D">
            <w:pPr>
              <w:pStyle w:val="TCTableBody"/>
              <w:jc w:val="center"/>
              <w:rPr>
                <w:sz w:val="21"/>
                <w:szCs w:val="21"/>
              </w:rPr>
            </w:pPr>
            <w:r w:rsidRPr="00B8467B">
              <w:rPr>
                <w:rFonts w:eastAsia="微软雅黑"/>
                <w:color w:val="000000"/>
                <w:kern w:val="24"/>
                <w:sz w:val="21"/>
                <w:szCs w:val="21"/>
              </w:rPr>
              <w:t>−</w:t>
            </w:r>
            <w:r w:rsidRPr="00B8467B">
              <w:rPr>
                <w:color w:val="000000"/>
                <w:kern w:val="24"/>
                <w:sz w:val="21"/>
                <w:szCs w:val="21"/>
              </w:rPr>
              <w:t>8.2 ± 0.8</w:t>
            </w:r>
          </w:p>
        </w:tc>
      </w:tr>
      <w:tr w:rsidR="00FF380F" w:rsidRPr="00B8467B" w14:paraId="693DF63C" w14:textId="77777777" w:rsidTr="001C514D">
        <w:trPr>
          <w:trHeight w:val="57"/>
          <w:jc w:val="center"/>
        </w:trPr>
        <w:tc>
          <w:tcPr>
            <w:tcW w:w="0" w:type="auto"/>
            <w:shd w:val="clear" w:color="auto" w:fill="auto"/>
            <w:vAlign w:val="center"/>
            <w:hideMark/>
          </w:tcPr>
          <w:p w14:paraId="71208C21" w14:textId="77777777" w:rsidR="00FF380F" w:rsidRPr="00B8467B" w:rsidRDefault="00FF380F" w:rsidP="001C514D">
            <w:pPr>
              <w:pStyle w:val="TCTableBody"/>
              <w:jc w:val="center"/>
              <w:rPr>
                <w:b/>
                <w:bCs/>
                <w:sz w:val="21"/>
                <w:szCs w:val="21"/>
              </w:rPr>
            </w:pPr>
            <w:r w:rsidRPr="00B8467B">
              <w:rPr>
                <w:rFonts w:hint="eastAsia"/>
                <w:b/>
                <w:bCs/>
                <w:sz w:val="21"/>
                <w:szCs w:val="21"/>
              </w:rPr>
              <w:lastRenderedPageBreak/>
              <w:t>II</w:t>
            </w:r>
          </w:p>
        </w:tc>
        <w:tc>
          <w:tcPr>
            <w:tcW w:w="0" w:type="auto"/>
            <w:shd w:val="clear" w:color="auto" w:fill="auto"/>
            <w:vAlign w:val="center"/>
            <w:hideMark/>
          </w:tcPr>
          <w:p w14:paraId="08ACD397" w14:textId="77777777" w:rsidR="00FF380F" w:rsidRPr="00B8467B" w:rsidRDefault="00FF380F" w:rsidP="001C514D">
            <w:pPr>
              <w:pStyle w:val="TCTableBody"/>
              <w:jc w:val="center"/>
              <w:rPr>
                <w:sz w:val="21"/>
                <w:szCs w:val="21"/>
              </w:rPr>
            </w:pPr>
            <w:r w:rsidRPr="00B8467B">
              <w:rPr>
                <w:rFonts w:eastAsia="微软雅黑"/>
                <w:color w:val="000000"/>
                <w:kern w:val="24"/>
                <w:sz w:val="21"/>
                <w:szCs w:val="21"/>
              </w:rPr>
              <w:t>−</w:t>
            </w:r>
            <w:r w:rsidRPr="00B8467B">
              <w:rPr>
                <w:color w:val="000000"/>
                <w:kern w:val="24"/>
                <w:sz w:val="21"/>
                <w:szCs w:val="21"/>
              </w:rPr>
              <w:t>6.2 ± 0.8</w:t>
            </w:r>
          </w:p>
        </w:tc>
      </w:tr>
      <w:tr w:rsidR="00FF380F" w:rsidRPr="00B8467B" w14:paraId="13873E7A" w14:textId="77777777" w:rsidTr="001C514D">
        <w:trPr>
          <w:trHeight w:val="57"/>
          <w:jc w:val="center"/>
        </w:trPr>
        <w:tc>
          <w:tcPr>
            <w:tcW w:w="0" w:type="auto"/>
            <w:shd w:val="clear" w:color="auto" w:fill="auto"/>
            <w:vAlign w:val="center"/>
            <w:hideMark/>
          </w:tcPr>
          <w:p w14:paraId="091C4659" w14:textId="77777777" w:rsidR="00FF380F" w:rsidRPr="00B8467B" w:rsidRDefault="00FF380F" w:rsidP="001C514D">
            <w:pPr>
              <w:pStyle w:val="TCTableBody"/>
              <w:jc w:val="center"/>
              <w:rPr>
                <w:b/>
                <w:bCs/>
                <w:sz w:val="21"/>
                <w:szCs w:val="21"/>
              </w:rPr>
            </w:pPr>
            <w:r w:rsidRPr="00B8467B">
              <w:rPr>
                <w:rFonts w:hint="eastAsia"/>
                <w:b/>
                <w:bCs/>
                <w:sz w:val="21"/>
                <w:szCs w:val="21"/>
              </w:rPr>
              <w:t>III</w:t>
            </w:r>
          </w:p>
        </w:tc>
        <w:tc>
          <w:tcPr>
            <w:tcW w:w="0" w:type="auto"/>
            <w:shd w:val="clear" w:color="auto" w:fill="auto"/>
            <w:vAlign w:val="center"/>
            <w:hideMark/>
          </w:tcPr>
          <w:p w14:paraId="1CC3830D" w14:textId="77777777" w:rsidR="00FF380F" w:rsidRPr="00B8467B" w:rsidRDefault="00FF380F" w:rsidP="001C514D">
            <w:pPr>
              <w:pStyle w:val="TCTableBody"/>
              <w:jc w:val="center"/>
              <w:rPr>
                <w:sz w:val="21"/>
                <w:szCs w:val="21"/>
              </w:rPr>
            </w:pPr>
            <w:r w:rsidRPr="00B8467B">
              <w:rPr>
                <w:rFonts w:eastAsia="微软雅黑"/>
                <w:color w:val="000000"/>
                <w:kern w:val="24"/>
                <w:sz w:val="21"/>
                <w:szCs w:val="21"/>
              </w:rPr>
              <w:t>−</w:t>
            </w:r>
            <w:r w:rsidRPr="00B8467B">
              <w:rPr>
                <w:color w:val="000000"/>
                <w:kern w:val="24"/>
                <w:sz w:val="21"/>
                <w:szCs w:val="21"/>
              </w:rPr>
              <w:t>8.2 ± 0.8</w:t>
            </w:r>
          </w:p>
        </w:tc>
      </w:tr>
      <w:tr w:rsidR="00FF380F" w:rsidRPr="00B8467B" w14:paraId="6CBB990A" w14:textId="77777777" w:rsidTr="001C514D">
        <w:trPr>
          <w:trHeight w:val="57"/>
          <w:jc w:val="center"/>
        </w:trPr>
        <w:tc>
          <w:tcPr>
            <w:tcW w:w="0" w:type="auto"/>
            <w:tcBorders>
              <w:bottom w:val="single" w:sz="4" w:space="0" w:color="auto"/>
            </w:tcBorders>
            <w:shd w:val="clear" w:color="auto" w:fill="auto"/>
            <w:vAlign w:val="center"/>
            <w:hideMark/>
          </w:tcPr>
          <w:p w14:paraId="46747D00" w14:textId="77777777" w:rsidR="00FF380F" w:rsidRPr="00B8467B" w:rsidRDefault="00FF380F" w:rsidP="001C514D">
            <w:pPr>
              <w:pStyle w:val="TCTableBody"/>
              <w:jc w:val="center"/>
              <w:rPr>
                <w:b/>
                <w:bCs/>
                <w:sz w:val="21"/>
                <w:szCs w:val="21"/>
              </w:rPr>
            </w:pPr>
            <w:r w:rsidRPr="00B8467B">
              <w:rPr>
                <w:rFonts w:hint="eastAsia"/>
                <w:b/>
                <w:bCs/>
                <w:sz w:val="21"/>
                <w:szCs w:val="21"/>
              </w:rPr>
              <w:t>IV</w:t>
            </w:r>
          </w:p>
        </w:tc>
        <w:tc>
          <w:tcPr>
            <w:tcW w:w="0" w:type="auto"/>
            <w:tcBorders>
              <w:bottom w:val="single" w:sz="4" w:space="0" w:color="auto"/>
            </w:tcBorders>
            <w:shd w:val="clear" w:color="auto" w:fill="auto"/>
            <w:vAlign w:val="center"/>
            <w:hideMark/>
          </w:tcPr>
          <w:p w14:paraId="7DEC490E" w14:textId="77777777" w:rsidR="00FF380F" w:rsidRPr="00B8467B" w:rsidRDefault="00FF380F" w:rsidP="001C514D">
            <w:pPr>
              <w:pStyle w:val="TCTableBody"/>
              <w:jc w:val="center"/>
              <w:rPr>
                <w:sz w:val="21"/>
                <w:szCs w:val="21"/>
              </w:rPr>
            </w:pPr>
            <w:r w:rsidRPr="00B8467B">
              <w:rPr>
                <w:rFonts w:eastAsia="微软雅黑"/>
                <w:color w:val="000000"/>
                <w:kern w:val="24"/>
                <w:sz w:val="21"/>
                <w:szCs w:val="21"/>
              </w:rPr>
              <w:t>−</w:t>
            </w:r>
            <w:r w:rsidRPr="00B8467B">
              <w:rPr>
                <w:color w:val="000000"/>
                <w:kern w:val="24"/>
                <w:sz w:val="21"/>
                <w:szCs w:val="21"/>
              </w:rPr>
              <w:t>7.5 ± 0.8</w:t>
            </w:r>
          </w:p>
        </w:tc>
      </w:tr>
    </w:tbl>
    <w:p w14:paraId="73EB17AE" w14:textId="77777777" w:rsidR="00FF380F" w:rsidRPr="000B68C1" w:rsidRDefault="00FF380F" w:rsidP="00DF7177">
      <w:pPr>
        <w:pStyle w:val="TAMainText"/>
        <w:ind w:firstLine="0"/>
        <w:rPr>
          <w:b/>
          <w:bCs/>
          <w:sz w:val="16"/>
          <w:szCs w:val="16"/>
          <w:lang w:eastAsia="zh-CN"/>
        </w:rPr>
      </w:pPr>
    </w:p>
    <w:p w14:paraId="1CF86294" w14:textId="77777777" w:rsidR="00FF380F" w:rsidRPr="002957ED" w:rsidRDefault="00FF380F" w:rsidP="00ED555C">
      <w:pPr>
        <w:pStyle w:val="TAMainText"/>
        <w:numPr>
          <w:ilvl w:val="0"/>
          <w:numId w:val="12"/>
        </w:numPr>
        <w:rPr>
          <w:b/>
          <w:bCs/>
          <w:szCs w:val="24"/>
          <w:lang w:eastAsia="zh-CN"/>
        </w:rPr>
      </w:pPr>
      <w:r w:rsidRPr="002957ED">
        <w:rPr>
          <w:b/>
          <w:bCs/>
          <w:szCs w:val="24"/>
          <w:lang w:eastAsia="zh-CN"/>
        </w:rPr>
        <w:t>CONCLUSIONS</w:t>
      </w:r>
    </w:p>
    <w:p w14:paraId="7FEA7EAF" w14:textId="77777777" w:rsidR="00FF380F" w:rsidRPr="002957ED" w:rsidRDefault="00FF380F" w:rsidP="00DF7177">
      <w:pPr>
        <w:pStyle w:val="TAMainText"/>
        <w:rPr>
          <w:szCs w:val="24"/>
        </w:rPr>
      </w:pPr>
      <w:bookmarkStart w:id="10" w:name="_Hlk110262755"/>
      <w:r>
        <w:rPr>
          <w:szCs w:val="24"/>
        </w:rPr>
        <w:t xml:space="preserve">We have presented a </w:t>
      </w:r>
      <w:proofErr w:type="spellStart"/>
      <w:r>
        <w:rPr>
          <w:szCs w:val="24"/>
        </w:rPr>
        <w:t>metadynamics</w:t>
      </w:r>
      <w:proofErr w:type="spellEnd"/>
      <w:r>
        <w:rPr>
          <w:szCs w:val="24"/>
        </w:rPr>
        <w:t xml:space="preserve"> study on the </w:t>
      </w:r>
      <w:r w:rsidRPr="002957ED">
        <w:rPr>
          <w:szCs w:val="24"/>
        </w:rPr>
        <w:t>binding poses and affinity of ligand</w:t>
      </w:r>
      <w:r w:rsidRPr="002957ED">
        <w:rPr>
          <w:b/>
          <w:szCs w:val="24"/>
        </w:rPr>
        <w:t xml:space="preserve"> A </w:t>
      </w:r>
      <w:r w:rsidRPr="002957ED">
        <w:rPr>
          <w:szCs w:val="24"/>
        </w:rPr>
        <w:t xml:space="preserve">to human </w:t>
      </w:r>
      <w:proofErr w:type="spellStart"/>
      <w:r w:rsidRPr="002957ED">
        <w:rPr>
          <w:szCs w:val="24"/>
        </w:rPr>
        <w:t>mNT</w:t>
      </w:r>
      <w:proofErr w:type="spellEnd"/>
      <w:r w:rsidRPr="002957ED">
        <w:rPr>
          <w:szCs w:val="24"/>
        </w:rPr>
        <w:t xml:space="preserve"> in an aqueous solution</w:t>
      </w:r>
      <w:r>
        <w:rPr>
          <w:szCs w:val="24"/>
        </w:rPr>
        <w:t xml:space="preserve">. Different protonation states of the </w:t>
      </w:r>
      <w:r w:rsidRPr="002957ED">
        <w:rPr>
          <w:szCs w:val="24"/>
        </w:rPr>
        <w:t>iron</w:t>
      </w:r>
      <w:r>
        <w:rPr>
          <w:szCs w:val="24"/>
        </w:rPr>
        <w:t xml:space="preserve"> </w:t>
      </w:r>
      <w:r w:rsidRPr="002957ED">
        <w:rPr>
          <w:szCs w:val="24"/>
        </w:rPr>
        <w:t xml:space="preserve">bound His87 and redox states (see Table 1) were considered. </w:t>
      </w:r>
    </w:p>
    <w:p w14:paraId="620B053F" w14:textId="79E2658B" w:rsidR="00FF380F" w:rsidRDefault="00FF380F" w:rsidP="00B43486">
      <w:pPr>
        <w:pStyle w:val="TAMainText"/>
        <w:rPr>
          <w:szCs w:val="24"/>
        </w:rPr>
      </w:pPr>
      <w:r w:rsidRPr="002957ED">
        <w:rPr>
          <w:szCs w:val="24"/>
        </w:rPr>
        <w:t xml:space="preserve">Our affinity is consistent with experiment in the same conditions. The simulations at the same temperature as those used for the X-ray structure of ref. </w:t>
      </w:r>
      <w:r w:rsidRPr="002957ED">
        <w:rPr>
          <w:noProof/>
          <w:szCs w:val="24"/>
        </w:rPr>
        <w:t>11</w:t>
      </w:r>
      <w:r w:rsidRPr="002957ED">
        <w:rPr>
          <w:szCs w:val="24"/>
        </w:rPr>
        <w:t xml:space="preserve"> further suggested that crystal packing likely stabilizes the pose of the ligand in the cluster region at the same temperature. Indeed, in an aqueous solution, where such packing forces are absent,</w:t>
      </w:r>
      <w:r w:rsidRPr="002957ED">
        <w:rPr>
          <w:b/>
          <w:szCs w:val="24"/>
        </w:rPr>
        <w:t xml:space="preserve"> A </w:t>
      </w:r>
      <w:r w:rsidRPr="002957ED">
        <w:rPr>
          <w:szCs w:val="24"/>
        </w:rPr>
        <w:t>binds not only to the [2Fe</w:t>
      </w:r>
      <w:r w:rsidRPr="002957ED">
        <w:rPr>
          <w:rFonts w:eastAsia="Times New Roman"/>
          <w:szCs w:val="24"/>
        </w:rPr>
        <w:t>–</w:t>
      </w:r>
      <w:r w:rsidRPr="002957ED">
        <w:rPr>
          <w:szCs w:val="24"/>
        </w:rPr>
        <w:t xml:space="preserve">2S] clusters binding region but also to the L1/L3 loops and L2 loops of β-cap with multiple binding poses. One of the low energy poses shares similarity with that of the X-ray structure. Here, the binding affinity of </w:t>
      </w:r>
      <w:r w:rsidRPr="002957ED">
        <w:rPr>
          <w:b/>
          <w:bCs/>
          <w:szCs w:val="24"/>
        </w:rPr>
        <w:t>A</w:t>
      </w:r>
      <w:r w:rsidRPr="002957ED">
        <w:rPr>
          <w:szCs w:val="24"/>
        </w:rPr>
        <w:t xml:space="preserve"> fairly correlates to the intermolecular contacts formed by the </w:t>
      </w:r>
      <w:r>
        <w:rPr>
          <w:szCs w:val="24"/>
        </w:rPr>
        <w:t>ligand</w:t>
      </w:r>
      <w:r w:rsidRPr="002957ED">
        <w:rPr>
          <w:szCs w:val="24"/>
        </w:rPr>
        <w:t xml:space="preserve"> with the protein. When </w:t>
      </w:r>
      <w:r w:rsidRPr="002957ED">
        <w:rPr>
          <w:b/>
          <w:bCs/>
          <w:szCs w:val="24"/>
        </w:rPr>
        <w:t>A</w:t>
      </w:r>
      <w:r w:rsidRPr="002957ED">
        <w:rPr>
          <w:szCs w:val="24"/>
        </w:rPr>
        <w:t xml:space="preserve"> binds to β-sheets and the [2Fe</w:t>
      </w:r>
      <w:r w:rsidRPr="002957ED">
        <w:rPr>
          <w:rFonts w:eastAsia="Times New Roman"/>
          <w:szCs w:val="24"/>
        </w:rPr>
        <w:t>–</w:t>
      </w:r>
      <w:r w:rsidRPr="002957ED">
        <w:rPr>
          <w:szCs w:val="24"/>
        </w:rPr>
        <w:t>2S] clusters</w:t>
      </w:r>
      <w:r>
        <w:rPr>
          <w:szCs w:val="24"/>
        </w:rPr>
        <w:t xml:space="preserve"> binding region</w:t>
      </w:r>
      <w:r w:rsidRPr="002957ED">
        <w:rPr>
          <w:szCs w:val="24"/>
        </w:rPr>
        <w:t xml:space="preserve">, it forms </w:t>
      </w:r>
      <w:r>
        <w:rPr>
          <w:szCs w:val="24"/>
        </w:rPr>
        <w:t>many</w:t>
      </w:r>
      <w:r w:rsidRPr="002957ED">
        <w:rPr>
          <w:szCs w:val="24"/>
        </w:rPr>
        <w:t xml:space="preserve"> contacts and has a high affinity with its target protein. </w:t>
      </w:r>
      <w:r w:rsidRPr="002957ED">
        <w:rPr>
          <w:i/>
          <w:iCs/>
          <w:szCs w:val="24"/>
        </w:rPr>
        <w:t>Vice versa</w:t>
      </w:r>
      <w:r w:rsidRPr="002957ED">
        <w:rPr>
          <w:szCs w:val="24"/>
        </w:rPr>
        <w:t>, when it binds to L1 and L3 loops, it does so with both low affinity and</w:t>
      </w:r>
      <w:r>
        <w:rPr>
          <w:szCs w:val="24"/>
        </w:rPr>
        <w:t xml:space="preserve"> </w:t>
      </w:r>
      <w:r w:rsidRPr="002957ED">
        <w:rPr>
          <w:szCs w:val="24"/>
        </w:rPr>
        <w:t>less intermolecular contacts to the target but more with the water molecules compared to the β-sheets and the [2Fe</w:t>
      </w:r>
      <w:r w:rsidRPr="002957ED">
        <w:rPr>
          <w:rFonts w:eastAsia="Times New Roman"/>
          <w:szCs w:val="24"/>
        </w:rPr>
        <w:t>–</w:t>
      </w:r>
      <w:r w:rsidRPr="002957ED">
        <w:rPr>
          <w:szCs w:val="24"/>
        </w:rPr>
        <w:t xml:space="preserve">2S] clusters region. In the X-ray structure, the </w:t>
      </w:r>
      <w:r>
        <w:rPr>
          <w:szCs w:val="24"/>
        </w:rPr>
        <w:t>ligand</w:t>
      </w:r>
      <w:r w:rsidRPr="002957ED">
        <w:rPr>
          <w:szCs w:val="24"/>
        </w:rPr>
        <w:t xml:space="preserve"> forms a </w:t>
      </w:r>
      <w:r>
        <w:rPr>
          <w:szCs w:val="24"/>
        </w:rPr>
        <w:t>much</w:t>
      </w:r>
      <w:r w:rsidRPr="002957ED">
        <w:rPr>
          <w:szCs w:val="24"/>
        </w:rPr>
        <w:t xml:space="preserve"> high</w:t>
      </w:r>
      <w:r>
        <w:rPr>
          <w:szCs w:val="24"/>
        </w:rPr>
        <w:t>er</w:t>
      </w:r>
      <w:r w:rsidRPr="002957ED">
        <w:rPr>
          <w:szCs w:val="24"/>
        </w:rPr>
        <w:t xml:space="preserve"> number of contacts, </w:t>
      </w:r>
      <w:r>
        <w:rPr>
          <w:szCs w:val="24"/>
        </w:rPr>
        <w:t xml:space="preserve">because it binds </w:t>
      </w:r>
      <w:r w:rsidRPr="002957ED">
        <w:rPr>
          <w:szCs w:val="24"/>
        </w:rPr>
        <w:t xml:space="preserve">not only to the protein but also its images. </w:t>
      </w:r>
      <w:r>
        <w:rPr>
          <w:szCs w:val="24"/>
        </w:rPr>
        <w:t>So, we may expect a different binding pose, as suggested by our calculations.</w:t>
      </w:r>
    </w:p>
    <w:p w14:paraId="7D5E8BFD" w14:textId="5C279012" w:rsidR="004441F4" w:rsidRDefault="004441F4" w:rsidP="00B43486">
      <w:pPr>
        <w:pStyle w:val="TAMainText"/>
        <w:rPr>
          <w:szCs w:val="24"/>
        </w:rPr>
      </w:pPr>
      <w:r w:rsidRPr="004441F4">
        <w:rPr>
          <w:szCs w:val="24"/>
        </w:rPr>
        <w:lastRenderedPageBreak/>
        <w:t xml:space="preserve">Overall, this suggest that </w:t>
      </w:r>
      <w:r w:rsidR="004026EA">
        <w:rPr>
          <w:szCs w:val="24"/>
        </w:rPr>
        <w:t xml:space="preserve">the </w:t>
      </w:r>
      <w:r w:rsidRPr="004441F4">
        <w:rPr>
          <w:szCs w:val="24"/>
        </w:rPr>
        <w:t xml:space="preserve">analysis of ligand binding to protein surface should </w:t>
      </w:r>
      <w:r w:rsidR="004026EA">
        <w:rPr>
          <w:szCs w:val="24"/>
        </w:rPr>
        <w:t>consider</w:t>
      </w:r>
      <w:r w:rsidRPr="004441F4">
        <w:rPr>
          <w:szCs w:val="24"/>
        </w:rPr>
        <w:t xml:space="preserve"> the fact not only</w:t>
      </w:r>
      <w:r w:rsidR="004026EA">
        <w:rPr>
          <w:szCs w:val="24"/>
        </w:rPr>
        <w:t xml:space="preserve"> that</w:t>
      </w:r>
      <w:r w:rsidRPr="004441F4">
        <w:rPr>
          <w:szCs w:val="24"/>
        </w:rPr>
        <w:t xml:space="preserve"> the complex is formed but also that its </w:t>
      </w:r>
      <w:r w:rsidR="004026EA">
        <w:rPr>
          <w:szCs w:val="24"/>
        </w:rPr>
        <w:t xml:space="preserve">3D arrangement is </w:t>
      </w:r>
      <w:r w:rsidRPr="004441F4">
        <w:rPr>
          <w:szCs w:val="24"/>
        </w:rPr>
        <w:t xml:space="preserve">held together by crystal packing. The latter may change depending on the </w:t>
      </w:r>
      <w:r w:rsidR="004026EA">
        <w:rPr>
          <w:szCs w:val="24"/>
        </w:rPr>
        <w:t xml:space="preserve">crystallization </w:t>
      </w:r>
      <w:r w:rsidRPr="004441F4">
        <w:rPr>
          <w:szCs w:val="24"/>
        </w:rPr>
        <w:t>conditions.</w:t>
      </w:r>
    </w:p>
    <w:p w14:paraId="5BD51D86" w14:textId="77777777" w:rsidR="00FF380F" w:rsidRDefault="00FF380F" w:rsidP="002B4947">
      <w:pPr>
        <w:pStyle w:val="TAMainText"/>
        <w:rPr>
          <w:szCs w:val="24"/>
        </w:rPr>
      </w:pPr>
      <w:r w:rsidRPr="002957ED">
        <w:rPr>
          <w:szCs w:val="24"/>
        </w:rPr>
        <w:t xml:space="preserve">At physiological temperature, the redox and protonation states affect </w:t>
      </w:r>
      <w:r>
        <w:rPr>
          <w:szCs w:val="24"/>
        </w:rPr>
        <w:t>the free energy landscape in a highly non-trivial manner</w:t>
      </w:r>
      <w:r w:rsidRPr="002957ED">
        <w:rPr>
          <w:szCs w:val="24"/>
        </w:rPr>
        <w:t>.</w:t>
      </w:r>
      <w:r>
        <w:rPr>
          <w:szCs w:val="24"/>
        </w:rPr>
        <w:t xml:space="preserve"> In particular,</w:t>
      </w:r>
      <w:r w:rsidRPr="002957ED">
        <w:rPr>
          <w:szCs w:val="24"/>
        </w:rPr>
        <w:t xml:space="preserve"> </w:t>
      </w:r>
      <w:bookmarkStart w:id="11" w:name="_Hlk115462228"/>
      <w:r>
        <w:rPr>
          <w:szCs w:val="24"/>
        </w:rPr>
        <w:t>t</w:t>
      </w:r>
      <w:r w:rsidRPr="002957ED">
        <w:rPr>
          <w:szCs w:val="24"/>
        </w:rPr>
        <w:t>he reduction on the [2Fe</w:t>
      </w:r>
      <w:r w:rsidRPr="002957ED">
        <w:rPr>
          <w:rFonts w:eastAsia="Times New Roman"/>
          <w:szCs w:val="24"/>
        </w:rPr>
        <w:t>–</w:t>
      </w:r>
      <w:r w:rsidRPr="002957ED">
        <w:rPr>
          <w:szCs w:val="24"/>
        </w:rPr>
        <w:t xml:space="preserve">2S] clusters of </w:t>
      </w:r>
      <w:proofErr w:type="spellStart"/>
      <w:r w:rsidRPr="002957ED">
        <w:rPr>
          <w:szCs w:val="24"/>
        </w:rPr>
        <w:t>mNT</w:t>
      </w:r>
      <w:proofErr w:type="spellEnd"/>
      <w:r w:rsidRPr="002957ED">
        <w:rPr>
          <w:szCs w:val="24"/>
        </w:rPr>
        <w:t xml:space="preserve"> with deprotonated His87 allow</w:t>
      </w:r>
      <w:r w:rsidRPr="002957ED">
        <w:rPr>
          <w:b/>
          <w:szCs w:val="24"/>
        </w:rPr>
        <w:t xml:space="preserve"> A </w:t>
      </w:r>
      <w:r w:rsidRPr="002957ED">
        <w:rPr>
          <w:szCs w:val="24"/>
        </w:rPr>
        <w:t>to reach the L2 loop. The protonation of iron</w:t>
      </w:r>
      <w:r>
        <w:rPr>
          <w:szCs w:val="24"/>
        </w:rPr>
        <w:t xml:space="preserve"> </w:t>
      </w:r>
      <w:r w:rsidRPr="002957ED">
        <w:rPr>
          <w:szCs w:val="24"/>
        </w:rPr>
        <w:t xml:space="preserve">bound His87 on oxidized </w:t>
      </w:r>
      <w:proofErr w:type="spellStart"/>
      <w:r w:rsidRPr="002957ED">
        <w:rPr>
          <w:szCs w:val="24"/>
        </w:rPr>
        <w:t>mNT</w:t>
      </w:r>
      <w:proofErr w:type="spellEnd"/>
      <w:r w:rsidRPr="002957ED">
        <w:rPr>
          <w:szCs w:val="24"/>
        </w:rPr>
        <w:t xml:space="preserve"> lead to binding to β1 sheet and L1 loop. The reduction has little effect on</w:t>
      </w:r>
      <w:r w:rsidRPr="002957ED">
        <w:rPr>
          <w:b/>
          <w:szCs w:val="24"/>
        </w:rPr>
        <w:t xml:space="preserve"> </w:t>
      </w:r>
      <w:r w:rsidRPr="002957ED">
        <w:rPr>
          <w:bCs/>
          <w:szCs w:val="24"/>
        </w:rPr>
        <w:t>the affinity</w:t>
      </w:r>
      <w:r w:rsidRPr="002957ED">
        <w:rPr>
          <w:szCs w:val="24"/>
        </w:rPr>
        <w:t>.</w:t>
      </w:r>
      <w:bookmarkEnd w:id="11"/>
      <w:r>
        <w:rPr>
          <w:szCs w:val="24"/>
        </w:rPr>
        <w:t xml:space="preserve"> </w:t>
      </w:r>
    </w:p>
    <w:p w14:paraId="60A26FFC" w14:textId="47D02CB6" w:rsidR="004441F4" w:rsidRDefault="004441F4" w:rsidP="002B4947">
      <w:pPr>
        <w:pStyle w:val="TAMainText"/>
        <w:rPr>
          <w:szCs w:val="24"/>
        </w:rPr>
      </w:pPr>
      <w:r w:rsidRPr="004441F4">
        <w:rPr>
          <w:szCs w:val="24"/>
        </w:rPr>
        <w:t>In summary</w:t>
      </w:r>
      <w:r w:rsidR="00A30D7A">
        <w:rPr>
          <w:rFonts w:hint="eastAsia"/>
          <w:szCs w:val="24"/>
          <w:lang w:eastAsia="zh-CN"/>
        </w:rPr>
        <w:t>,</w:t>
      </w:r>
      <w:r w:rsidRPr="004441F4">
        <w:rPr>
          <w:szCs w:val="24"/>
        </w:rPr>
        <w:t xml:space="preserve"> in our simulations we found that the ligand can bind to a variety of solvent exposed regions of the protein. At the speculative level, we suggest that some of these identified surface binding hotspots may play a role for protein-protein interactions (PPI)</w:t>
      </w:r>
      <w:r w:rsidRPr="004441F4">
        <w:rPr>
          <w:szCs w:val="24"/>
          <w:vertAlign w:val="superscript"/>
        </w:rPr>
        <w:t>44,</w:t>
      </w:r>
      <w:r>
        <w:rPr>
          <w:szCs w:val="24"/>
          <w:vertAlign w:val="superscript"/>
        </w:rPr>
        <w:t xml:space="preserve"> </w:t>
      </w:r>
      <w:r w:rsidRPr="004441F4">
        <w:rPr>
          <w:szCs w:val="24"/>
          <w:vertAlign w:val="superscript"/>
        </w:rPr>
        <w:t>45</w:t>
      </w:r>
      <w:r w:rsidRPr="004441F4">
        <w:rPr>
          <w:szCs w:val="24"/>
        </w:rPr>
        <w:t>, including such regions as targets for structure-based drug discovery could expand the chemical space of possible inhibitors of PPIs.</w:t>
      </w:r>
    </w:p>
    <w:p w14:paraId="19DA7D24" w14:textId="21A561B7" w:rsidR="00FF380F" w:rsidRPr="002957ED" w:rsidRDefault="00FF380F" w:rsidP="002B4947">
      <w:pPr>
        <w:pStyle w:val="TAMainText"/>
        <w:rPr>
          <w:szCs w:val="24"/>
        </w:rPr>
      </w:pPr>
      <w:r w:rsidRPr="002957ED">
        <w:rPr>
          <w:szCs w:val="24"/>
        </w:rPr>
        <w:t xml:space="preserve">Of course, the predicting power of </w:t>
      </w:r>
      <w:r>
        <w:rPr>
          <w:szCs w:val="24"/>
        </w:rPr>
        <w:t xml:space="preserve">our calculations </w:t>
      </w:r>
      <w:r w:rsidRPr="002957ED">
        <w:rPr>
          <w:szCs w:val="24"/>
        </w:rPr>
        <w:t>depends crucially on the quality of the force field, which is challenged in multinuclear open shell systems such as Fe-S proteins. Experimental validation (such as NMR</w:t>
      </w:r>
      <w:r w:rsidRPr="002957ED">
        <w:rPr>
          <w:noProof/>
          <w:szCs w:val="24"/>
          <w:vertAlign w:val="superscript"/>
        </w:rPr>
        <w:t>4</w:t>
      </w:r>
      <w:r w:rsidR="00B53B44">
        <w:rPr>
          <w:noProof/>
          <w:szCs w:val="24"/>
          <w:vertAlign w:val="superscript"/>
        </w:rPr>
        <w:t>6</w:t>
      </w:r>
      <w:r w:rsidRPr="002957ED">
        <w:rPr>
          <w:szCs w:val="24"/>
        </w:rPr>
        <w:t>) would be of great help to establish the accuracy of our predictions</w:t>
      </w:r>
      <w:r>
        <w:rPr>
          <w:szCs w:val="24"/>
        </w:rPr>
        <w:t xml:space="preserve">. We would like nevertheless to close with a positive note, as the calculations here have provided the first picture of a ligand bound to the human </w:t>
      </w:r>
      <w:proofErr w:type="spellStart"/>
      <w:r>
        <w:rPr>
          <w:szCs w:val="24"/>
        </w:rPr>
        <w:t>mNT</w:t>
      </w:r>
      <w:proofErr w:type="spellEnd"/>
      <w:r>
        <w:rPr>
          <w:szCs w:val="24"/>
        </w:rPr>
        <w:t xml:space="preserve"> surface in aqueous solution. This work </w:t>
      </w:r>
      <w:r w:rsidRPr="002957ED">
        <w:rPr>
          <w:szCs w:val="24"/>
        </w:rPr>
        <w:t xml:space="preserve">may </w:t>
      </w:r>
      <w:r>
        <w:rPr>
          <w:szCs w:val="24"/>
        </w:rPr>
        <w:t xml:space="preserve">greatly </w:t>
      </w:r>
      <w:r w:rsidRPr="002957ED">
        <w:rPr>
          <w:szCs w:val="24"/>
        </w:rPr>
        <w:t>help rational drug design of ligands targeting this protein</w:t>
      </w:r>
      <w:r>
        <w:rPr>
          <w:szCs w:val="24"/>
        </w:rPr>
        <w:t>, as it offers, for the first time, a complete and complex picture of ligands binding to one of the NEET proteins in solution.</w:t>
      </w:r>
    </w:p>
    <w:p w14:paraId="6DFF9149" w14:textId="77777777" w:rsidR="00FF380F" w:rsidRPr="000B68C1" w:rsidRDefault="00FF380F" w:rsidP="00B43486">
      <w:pPr>
        <w:pStyle w:val="TAMainText"/>
        <w:ind w:firstLine="0"/>
        <w:rPr>
          <w:sz w:val="16"/>
          <w:szCs w:val="16"/>
        </w:rPr>
      </w:pPr>
    </w:p>
    <w:bookmarkEnd w:id="10"/>
    <w:p w14:paraId="00759B1B" w14:textId="77777777" w:rsidR="00FF380F" w:rsidRPr="009B3413" w:rsidRDefault="00FF380F" w:rsidP="009B3413"/>
    <w:p w14:paraId="3ACBF868" w14:textId="77777777" w:rsidR="00FF380F" w:rsidRPr="002B4947" w:rsidRDefault="00FF380F" w:rsidP="000B5610">
      <w:pPr>
        <w:pStyle w:val="TESupportingInformation"/>
        <w:spacing w:after="240"/>
        <w:ind w:firstLine="0"/>
        <w:jc w:val="left"/>
        <w:rPr>
          <w:szCs w:val="24"/>
        </w:rPr>
      </w:pPr>
      <w:r w:rsidRPr="002B4947">
        <w:rPr>
          <w:szCs w:val="24"/>
        </w:rPr>
        <w:t>ASSOCIATED CONTENT</w:t>
      </w:r>
    </w:p>
    <w:p w14:paraId="3E057DF5" w14:textId="77777777" w:rsidR="00FF380F" w:rsidRPr="002B4947" w:rsidRDefault="00FF380F" w:rsidP="000B5610">
      <w:pPr>
        <w:pStyle w:val="TESupportingInformation"/>
        <w:spacing w:after="240"/>
        <w:ind w:firstLine="0"/>
        <w:jc w:val="left"/>
        <w:rPr>
          <w:b/>
          <w:szCs w:val="24"/>
        </w:rPr>
      </w:pPr>
      <w:r w:rsidRPr="002B4947">
        <w:rPr>
          <w:b/>
          <w:szCs w:val="24"/>
        </w:rPr>
        <w:lastRenderedPageBreak/>
        <w:t>Supporting Information</w:t>
      </w:r>
    </w:p>
    <w:p w14:paraId="53819D03" w14:textId="77777777" w:rsidR="0039531A" w:rsidRDefault="00FF380F" w:rsidP="000B5610">
      <w:pPr>
        <w:pStyle w:val="TESupportingInformation"/>
        <w:spacing w:after="240"/>
        <w:ind w:firstLine="0"/>
        <w:jc w:val="left"/>
        <w:rPr>
          <w:szCs w:val="24"/>
        </w:rPr>
      </w:pPr>
      <w:r w:rsidRPr="002B4947">
        <w:rPr>
          <w:szCs w:val="24"/>
        </w:rPr>
        <w:t>The following files are available free of charge.</w:t>
      </w:r>
    </w:p>
    <w:p w14:paraId="73BDEC94" w14:textId="0056BAB1" w:rsidR="00FF380F" w:rsidRDefault="00FF380F" w:rsidP="0039531A">
      <w:pPr>
        <w:pStyle w:val="TESupportingInformation"/>
        <w:spacing w:after="240"/>
        <w:ind w:firstLine="0"/>
        <w:rPr>
          <w:szCs w:val="24"/>
        </w:rPr>
      </w:pPr>
      <w:r w:rsidRPr="002B4947">
        <w:rPr>
          <w:szCs w:val="24"/>
        </w:rPr>
        <w:t xml:space="preserve">Details on settings of molecular docking; force field and parameters of ligand </w:t>
      </w:r>
      <w:r w:rsidRPr="002B4947">
        <w:rPr>
          <w:b/>
          <w:bCs/>
          <w:szCs w:val="24"/>
        </w:rPr>
        <w:t>A</w:t>
      </w:r>
      <w:r w:rsidRPr="002B4947">
        <w:rPr>
          <w:szCs w:val="24"/>
        </w:rPr>
        <w:t xml:space="preserve">; convergence of MD simulations and </w:t>
      </w:r>
      <w:proofErr w:type="spellStart"/>
      <w:r w:rsidRPr="002B4947">
        <w:rPr>
          <w:szCs w:val="24"/>
        </w:rPr>
        <w:t>metadynamics</w:t>
      </w:r>
      <w:proofErr w:type="spellEnd"/>
      <w:r w:rsidRPr="002B4947">
        <w:rPr>
          <w:szCs w:val="24"/>
        </w:rPr>
        <w:t xml:space="preserve"> of </w:t>
      </w:r>
      <w:proofErr w:type="spellStart"/>
      <w:r w:rsidRPr="002B4947">
        <w:rPr>
          <w:b/>
          <w:bCs/>
          <w:szCs w:val="24"/>
        </w:rPr>
        <w:t>A</w:t>
      </w:r>
      <w:r w:rsidRPr="002B4947">
        <w:rPr>
          <w:rFonts w:ascii="Times New Roman" w:hAnsi="Times New Roman"/>
          <w:szCs w:val="24"/>
        </w:rPr>
        <w:t>·</w:t>
      </w:r>
      <w:r w:rsidRPr="002B4947">
        <w:rPr>
          <w:szCs w:val="24"/>
        </w:rPr>
        <w:t>mNT</w:t>
      </w:r>
      <w:proofErr w:type="spellEnd"/>
      <w:r>
        <w:rPr>
          <w:szCs w:val="24"/>
        </w:rPr>
        <w:t xml:space="preserve">; ligand/protein interactions for </w:t>
      </w:r>
      <w:r w:rsidRPr="00F921C8">
        <w:rPr>
          <w:b/>
          <w:bCs/>
          <w:szCs w:val="24"/>
        </w:rPr>
        <w:t>I</w:t>
      </w:r>
      <w:r>
        <w:rPr>
          <w:szCs w:val="24"/>
        </w:rPr>
        <w:t>–</w:t>
      </w:r>
      <w:r w:rsidRPr="00F921C8">
        <w:rPr>
          <w:b/>
          <w:bCs/>
          <w:szCs w:val="24"/>
        </w:rPr>
        <w:t>IV</w:t>
      </w:r>
      <w:r>
        <w:rPr>
          <w:szCs w:val="24"/>
        </w:rPr>
        <w:t xml:space="preserve"> complexes</w:t>
      </w:r>
      <w:r w:rsidRPr="002B4947">
        <w:rPr>
          <w:szCs w:val="24"/>
        </w:rPr>
        <w:t xml:space="preserve"> (PDF)</w:t>
      </w:r>
    </w:p>
    <w:p w14:paraId="1A44C5DC" w14:textId="77777777" w:rsidR="0039531A" w:rsidRPr="0039531A" w:rsidRDefault="0039531A" w:rsidP="0039531A"/>
    <w:p w14:paraId="5829DC08" w14:textId="77777777" w:rsidR="00FF380F" w:rsidRPr="002B4947" w:rsidRDefault="00FF380F" w:rsidP="00DD6DBB">
      <w:pPr>
        <w:pStyle w:val="FACorrespondingAuthorFootnote"/>
        <w:spacing w:after="0"/>
        <w:jc w:val="left"/>
        <w:rPr>
          <w:szCs w:val="24"/>
        </w:rPr>
      </w:pPr>
      <w:r w:rsidRPr="002B4947">
        <w:rPr>
          <w:szCs w:val="24"/>
        </w:rPr>
        <w:t>AUTHOR INFORMATION</w:t>
      </w:r>
    </w:p>
    <w:p w14:paraId="58EAF8E5" w14:textId="77777777" w:rsidR="00FF380F" w:rsidRPr="002B4947" w:rsidRDefault="00FF380F" w:rsidP="004E7185">
      <w:pPr>
        <w:pStyle w:val="FAAuthorInfoSubtitle"/>
        <w:rPr>
          <w:szCs w:val="24"/>
        </w:rPr>
      </w:pPr>
      <w:r w:rsidRPr="002B4947">
        <w:rPr>
          <w:szCs w:val="24"/>
        </w:rPr>
        <w:t>Corresponding Author</w:t>
      </w:r>
    </w:p>
    <w:p w14:paraId="495B48CD" w14:textId="77777777" w:rsidR="00FF380F" w:rsidRPr="002B4947" w:rsidRDefault="00FF380F" w:rsidP="00636C32">
      <w:pPr>
        <w:pStyle w:val="FACorrespondingAuthorFootnote"/>
        <w:spacing w:after="240"/>
        <w:rPr>
          <w:szCs w:val="24"/>
        </w:rPr>
      </w:pPr>
      <w:r w:rsidRPr="002B4947">
        <w:rPr>
          <w:b/>
          <w:bCs/>
          <w:szCs w:val="24"/>
        </w:rPr>
        <w:t xml:space="preserve">Paolo Carloni </w:t>
      </w:r>
      <w:r w:rsidRPr="002B4947">
        <w:rPr>
          <w:szCs w:val="24"/>
        </w:rPr>
        <w:t xml:space="preserve">- Department of Physics, RWTH Aachen University, 52074 Aachen, Germany; Computational Biomedicine, Institute of Advanced Simulation IAS‑5 and Institute of Neuroscience and Medicine INM‑9, </w:t>
      </w:r>
      <w:proofErr w:type="spellStart"/>
      <w:r w:rsidRPr="002B4947">
        <w:rPr>
          <w:szCs w:val="24"/>
        </w:rPr>
        <w:t>Forschungszentrum</w:t>
      </w:r>
      <w:proofErr w:type="spellEnd"/>
      <w:r w:rsidRPr="002B4947">
        <w:rPr>
          <w:szCs w:val="24"/>
        </w:rPr>
        <w:t xml:space="preserve"> </w:t>
      </w:r>
      <w:proofErr w:type="spellStart"/>
      <w:r w:rsidRPr="002B4947">
        <w:rPr>
          <w:szCs w:val="24"/>
        </w:rPr>
        <w:t>Jülich</w:t>
      </w:r>
      <w:proofErr w:type="spellEnd"/>
      <w:r w:rsidRPr="002B4947">
        <w:rPr>
          <w:szCs w:val="24"/>
        </w:rPr>
        <w:t xml:space="preserve"> GmbH, 52425 </w:t>
      </w:r>
      <w:proofErr w:type="spellStart"/>
      <w:r w:rsidRPr="002B4947">
        <w:rPr>
          <w:szCs w:val="24"/>
        </w:rPr>
        <w:t>Jülich</w:t>
      </w:r>
      <w:proofErr w:type="spellEnd"/>
      <w:r w:rsidRPr="002B4947">
        <w:rPr>
          <w:szCs w:val="24"/>
        </w:rPr>
        <w:t xml:space="preserve">, Germany; JARA Institute: Molecular Neuroscience and Imaging, Institute of Neuroscience and Medicine INM‑11, </w:t>
      </w:r>
      <w:proofErr w:type="spellStart"/>
      <w:r w:rsidRPr="002B4947">
        <w:rPr>
          <w:szCs w:val="24"/>
        </w:rPr>
        <w:t>Forschungszentrum</w:t>
      </w:r>
      <w:proofErr w:type="spellEnd"/>
      <w:r w:rsidRPr="002B4947">
        <w:rPr>
          <w:szCs w:val="24"/>
        </w:rPr>
        <w:t xml:space="preserve"> </w:t>
      </w:r>
      <w:proofErr w:type="spellStart"/>
      <w:r w:rsidRPr="002B4947">
        <w:rPr>
          <w:szCs w:val="24"/>
        </w:rPr>
        <w:t>Jülich</w:t>
      </w:r>
      <w:proofErr w:type="spellEnd"/>
      <w:r w:rsidRPr="002B4947">
        <w:rPr>
          <w:szCs w:val="24"/>
        </w:rPr>
        <w:t xml:space="preserve"> GmbH, 52425 </w:t>
      </w:r>
      <w:proofErr w:type="spellStart"/>
      <w:r w:rsidRPr="002B4947">
        <w:rPr>
          <w:szCs w:val="24"/>
        </w:rPr>
        <w:t>Jülich</w:t>
      </w:r>
      <w:proofErr w:type="spellEnd"/>
      <w:r w:rsidRPr="002B4947">
        <w:rPr>
          <w:szCs w:val="24"/>
        </w:rPr>
        <w:t xml:space="preserve">, Germany; ORCID: 0000-0002-9010-0149; Email: </w:t>
      </w:r>
      <w:hyperlink r:id="rId16" w:history="1">
        <w:r w:rsidRPr="002B4947">
          <w:rPr>
            <w:rStyle w:val="a8"/>
            <w:szCs w:val="24"/>
          </w:rPr>
          <w:t>p.carloni@fz-juelich.de</w:t>
        </w:r>
      </w:hyperlink>
    </w:p>
    <w:p w14:paraId="4E04B19F" w14:textId="77777777" w:rsidR="00FF380F" w:rsidRPr="002B4947" w:rsidRDefault="00FF380F" w:rsidP="00F66CFF">
      <w:pPr>
        <w:pStyle w:val="TAMainText"/>
        <w:ind w:firstLine="0"/>
        <w:rPr>
          <w:b/>
          <w:bCs/>
          <w:szCs w:val="24"/>
          <w:lang w:eastAsia="zh-CN"/>
        </w:rPr>
      </w:pPr>
      <w:r w:rsidRPr="002B4947">
        <w:rPr>
          <w:rFonts w:hint="eastAsia"/>
          <w:b/>
          <w:bCs/>
          <w:szCs w:val="24"/>
          <w:lang w:eastAsia="zh-CN"/>
        </w:rPr>
        <w:t>A</w:t>
      </w:r>
      <w:r w:rsidRPr="002B4947">
        <w:rPr>
          <w:b/>
          <w:bCs/>
          <w:szCs w:val="24"/>
          <w:lang w:eastAsia="zh-CN"/>
        </w:rPr>
        <w:t>uthor</w:t>
      </w:r>
    </w:p>
    <w:p w14:paraId="251EEFBD" w14:textId="77777777" w:rsidR="00FF380F" w:rsidRPr="002B4947" w:rsidRDefault="00FF380F" w:rsidP="00F66CFF">
      <w:pPr>
        <w:pStyle w:val="TAMainText"/>
        <w:ind w:firstLine="0"/>
        <w:rPr>
          <w:szCs w:val="24"/>
          <w:lang w:eastAsia="zh-CN"/>
        </w:rPr>
      </w:pPr>
      <w:r w:rsidRPr="002B4947">
        <w:rPr>
          <w:rFonts w:hint="eastAsia"/>
          <w:b/>
          <w:bCs/>
          <w:szCs w:val="24"/>
          <w:lang w:eastAsia="zh-CN"/>
        </w:rPr>
        <w:t>K</w:t>
      </w:r>
      <w:r w:rsidRPr="002B4947">
        <w:rPr>
          <w:b/>
          <w:bCs/>
          <w:szCs w:val="24"/>
          <w:lang w:eastAsia="zh-CN"/>
        </w:rPr>
        <w:t xml:space="preserve">e Zuo – </w:t>
      </w:r>
      <w:r w:rsidRPr="002B4947">
        <w:rPr>
          <w:szCs w:val="24"/>
          <w:lang w:eastAsia="zh-CN"/>
        </w:rPr>
        <w:t xml:space="preserve">The Alexander Silberman Institute of Life Science, The Hebrew University of Jerusalem, Edmond J. </w:t>
      </w:r>
      <w:proofErr w:type="spellStart"/>
      <w:r w:rsidRPr="002B4947">
        <w:rPr>
          <w:szCs w:val="24"/>
          <w:lang w:eastAsia="zh-CN"/>
        </w:rPr>
        <w:t>Safra</w:t>
      </w:r>
      <w:proofErr w:type="spellEnd"/>
      <w:r w:rsidRPr="002B4947">
        <w:rPr>
          <w:szCs w:val="24"/>
          <w:lang w:eastAsia="zh-CN"/>
        </w:rPr>
        <w:t xml:space="preserve"> Campus at </w:t>
      </w:r>
      <w:proofErr w:type="spellStart"/>
      <w:r w:rsidRPr="002B4947">
        <w:rPr>
          <w:szCs w:val="24"/>
          <w:lang w:eastAsia="zh-CN"/>
        </w:rPr>
        <w:t>Givat</w:t>
      </w:r>
      <w:proofErr w:type="spellEnd"/>
      <w:r w:rsidRPr="002B4947">
        <w:rPr>
          <w:szCs w:val="24"/>
          <w:lang w:eastAsia="zh-CN"/>
        </w:rPr>
        <w:t xml:space="preserve"> Ram, 91904 Jerusalem, Israel; Department of Physics, RWTH Aachen University, 52074 Aachen, Germany; Computational Biomedicine, Institute of Advanced Simulation IAS‑5 and Institute of Neuroscience and Medicine INM‑9, </w:t>
      </w:r>
      <w:proofErr w:type="spellStart"/>
      <w:r w:rsidRPr="002B4947">
        <w:rPr>
          <w:szCs w:val="24"/>
          <w:lang w:eastAsia="zh-CN"/>
        </w:rPr>
        <w:t>Forschungszentrum</w:t>
      </w:r>
      <w:proofErr w:type="spellEnd"/>
      <w:r w:rsidRPr="002B4947">
        <w:rPr>
          <w:szCs w:val="24"/>
          <w:lang w:eastAsia="zh-CN"/>
        </w:rPr>
        <w:t xml:space="preserve"> </w:t>
      </w:r>
      <w:proofErr w:type="spellStart"/>
      <w:r w:rsidRPr="002B4947">
        <w:rPr>
          <w:szCs w:val="24"/>
          <w:lang w:eastAsia="zh-CN"/>
        </w:rPr>
        <w:t>Jülich</w:t>
      </w:r>
      <w:proofErr w:type="spellEnd"/>
      <w:r w:rsidRPr="002B4947">
        <w:rPr>
          <w:szCs w:val="24"/>
          <w:lang w:eastAsia="zh-CN"/>
        </w:rPr>
        <w:t xml:space="preserve"> GmbH, 52425 </w:t>
      </w:r>
      <w:proofErr w:type="spellStart"/>
      <w:r w:rsidRPr="002B4947">
        <w:rPr>
          <w:szCs w:val="24"/>
          <w:lang w:eastAsia="zh-CN"/>
        </w:rPr>
        <w:t>Jülich</w:t>
      </w:r>
      <w:proofErr w:type="spellEnd"/>
      <w:r w:rsidRPr="002B4947">
        <w:rPr>
          <w:szCs w:val="24"/>
          <w:lang w:eastAsia="zh-CN"/>
        </w:rPr>
        <w:t xml:space="preserve">, Germany; Department of Physics, </w:t>
      </w:r>
      <w:proofErr w:type="spellStart"/>
      <w:r w:rsidRPr="002B4947">
        <w:rPr>
          <w:szCs w:val="24"/>
          <w:lang w:eastAsia="zh-CN"/>
        </w:rPr>
        <w:t>Università</w:t>
      </w:r>
      <w:proofErr w:type="spellEnd"/>
      <w:r w:rsidRPr="002B4947">
        <w:rPr>
          <w:szCs w:val="24"/>
          <w:lang w:eastAsia="zh-CN"/>
        </w:rPr>
        <w:t xml:space="preserve"> di Ferrara, 44100 Ferrara, Italy;</w:t>
      </w:r>
      <w:r w:rsidRPr="002B4947">
        <w:rPr>
          <w:b/>
          <w:bCs/>
          <w:szCs w:val="24"/>
          <w:lang w:eastAsia="zh-CN"/>
        </w:rPr>
        <w:t xml:space="preserve"> </w:t>
      </w:r>
      <w:r w:rsidRPr="002B4947">
        <w:rPr>
          <w:szCs w:val="24"/>
          <w:lang w:eastAsia="zh-CN"/>
        </w:rPr>
        <w:t>ORCID: 0000-0003-0061-7265</w:t>
      </w:r>
    </w:p>
    <w:p w14:paraId="2EDFEA5F" w14:textId="77777777" w:rsidR="00FF380F" w:rsidRPr="00290F32" w:rsidRDefault="00FF380F" w:rsidP="00377964">
      <w:pPr>
        <w:pStyle w:val="TAMainText"/>
        <w:ind w:firstLine="0"/>
        <w:rPr>
          <w:szCs w:val="24"/>
          <w:lang w:val="it-IT" w:eastAsia="zh-CN"/>
        </w:rPr>
      </w:pPr>
      <w:r w:rsidRPr="00290F32">
        <w:rPr>
          <w:rFonts w:hint="eastAsia"/>
          <w:b/>
          <w:bCs/>
          <w:szCs w:val="24"/>
          <w:lang w:val="it-IT" w:eastAsia="zh-CN"/>
        </w:rPr>
        <w:lastRenderedPageBreak/>
        <w:t>R</w:t>
      </w:r>
      <w:r w:rsidRPr="00290F32">
        <w:rPr>
          <w:b/>
          <w:bCs/>
          <w:szCs w:val="24"/>
          <w:lang w:val="it-IT" w:eastAsia="zh-CN"/>
        </w:rPr>
        <w:t xml:space="preserve">iccardo Capelli – </w:t>
      </w:r>
      <w:r w:rsidRPr="00290F32">
        <w:rPr>
          <w:szCs w:val="24"/>
          <w:lang w:val="it-IT" w:eastAsia="zh-CN"/>
        </w:rPr>
        <w:t>Department of Biosciences, Università degli Studi di Milano, Via Celoria 26, 20133 Milan, Italy;</w:t>
      </w:r>
      <w:r w:rsidRPr="00290F32">
        <w:rPr>
          <w:b/>
          <w:bCs/>
          <w:szCs w:val="24"/>
          <w:lang w:val="it-IT" w:eastAsia="zh-CN"/>
        </w:rPr>
        <w:t xml:space="preserve"> </w:t>
      </w:r>
      <w:r w:rsidRPr="00290F32">
        <w:rPr>
          <w:szCs w:val="24"/>
          <w:lang w:val="it-IT" w:eastAsia="zh-CN"/>
        </w:rPr>
        <w:t>ORCID: 0000-0001-9522-3132</w:t>
      </w:r>
    </w:p>
    <w:p w14:paraId="5F2F07A4" w14:textId="7F8684E6" w:rsidR="00FF380F" w:rsidRPr="002B4947" w:rsidRDefault="00FF380F" w:rsidP="008B0452">
      <w:pPr>
        <w:pStyle w:val="TAMainText"/>
        <w:ind w:firstLine="0"/>
        <w:rPr>
          <w:b/>
          <w:bCs/>
          <w:szCs w:val="24"/>
          <w:lang w:eastAsia="zh-CN"/>
        </w:rPr>
      </w:pPr>
      <w:r w:rsidRPr="002B4947">
        <w:rPr>
          <w:rFonts w:hint="eastAsia"/>
          <w:b/>
          <w:bCs/>
          <w:szCs w:val="24"/>
          <w:lang w:eastAsia="zh-CN"/>
        </w:rPr>
        <w:t>G</w:t>
      </w:r>
      <w:r w:rsidRPr="002B4947">
        <w:rPr>
          <w:b/>
          <w:bCs/>
          <w:szCs w:val="24"/>
          <w:lang w:eastAsia="zh-CN"/>
        </w:rPr>
        <w:t>iulia Rossetti</w:t>
      </w:r>
      <w:r w:rsidRPr="002B4947">
        <w:rPr>
          <w:szCs w:val="24"/>
          <w:lang w:eastAsia="zh-CN"/>
        </w:rPr>
        <w:t xml:space="preserve"> – </w:t>
      </w:r>
      <w:r w:rsidRPr="00582A06">
        <w:rPr>
          <w:szCs w:val="24"/>
          <w:lang w:eastAsia="zh-CN"/>
        </w:rPr>
        <w:t xml:space="preserve">Computational Biomedicine, Institute of Advanced Simulation IAS‑5 and Institute of Neuroscience and Medicine INM‑9, </w:t>
      </w:r>
      <w:proofErr w:type="spellStart"/>
      <w:r w:rsidRPr="00582A06">
        <w:rPr>
          <w:szCs w:val="24"/>
          <w:lang w:eastAsia="zh-CN"/>
        </w:rPr>
        <w:t>Forschungszentrum</w:t>
      </w:r>
      <w:proofErr w:type="spellEnd"/>
      <w:r w:rsidRPr="00582A06">
        <w:rPr>
          <w:szCs w:val="24"/>
          <w:lang w:eastAsia="zh-CN"/>
        </w:rPr>
        <w:t xml:space="preserve"> </w:t>
      </w:r>
      <w:proofErr w:type="spellStart"/>
      <w:r w:rsidRPr="00582A06">
        <w:rPr>
          <w:szCs w:val="24"/>
          <w:lang w:eastAsia="zh-CN"/>
        </w:rPr>
        <w:t>Jülich</w:t>
      </w:r>
      <w:proofErr w:type="spellEnd"/>
      <w:r w:rsidRPr="00582A06">
        <w:rPr>
          <w:szCs w:val="24"/>
          <w:lang w:eastAsia="zh-CN"/>
        </w:rPr>
        <w:t xml:space="preserve"> GmbH, 52425 </w:t>
      </w:r>
      <w:proofErr w:type="spellStart"/>
      <w:r w:rsidRPr="00582A06">
        <w:rPr>
          <w:szCs w:val="24"/>
          <w:lang w:eastAsia="zh-CN"/>
        </w:rPr>
        <w:t>Jülich</w:t>
      </w:r>
      <w:proofErr w:type="spellEnd"/>
      <w:r w:rsidRPr="00582A06">
        <w:rPr>
          <w:szCs w:val="24"/>
          <w:lang w:eastAsia="zh-CN"/>
        </w:rPr>
        <w:t>, Germany</w:t>
      </w:r>
      <w:r>
        <w:rPr>
          <w:szCs w:val="24"/>
          <w:lang w:eastAsia="zh-CN"/>
        </w:rPr>
        <w:t>;</w:t>
      </w:r>
      <w:r w:rsidRPr="00582A06">
        <w:rPr>
          <w:szCs w:val="24"/>
          <w:lang w:eastAsia="zh-CN"/>
        </w:rPr>
        <w:t xml:space="preserve"> </w:t>
      </w:r>
      <w:proofErr w:type="spellStart"/>
      <w:r w:rsidRPr="00F24B84">
        <w:rPr>
          <w:szCs w:val="24"/>
          <w:lang w:eastAsia="zh-CN"/>
        </w:rPr>
        <w:t>Jülich</w:t>
      </w:r>
      <w:proofErr w:type="spellEnd"/>
      <w:r w:rsidRPr="00F24B84">
        <w:rPr>
          <w:szCs w:val="24"/>
          <w:lang w:eastAsia="zh-CN"/>
        </w:rPr>
        <w:t xml:space="preserve"> Supercomputing Center (JSC), </w:t>
      </w:r>
      <w:proofErr w:type="spellStart"/>
      <w:r w:rsidRPr="00F24B84">
        <w:rPr>
          <w:szCs w:val="24"/>
          <w:lang w:eastAsia="zh-CN"/>
        </w:rPr>
        <w:t>Forschungszentrum</w:t>
      </w:r>
      <w:proofErr w:type="spellEnd"/>
      <w:r w:rsidRPr="00F24B84">
        <w:rPr>
          <w:szCs w:val="24"/>
          <w:lang w:eastAsia="zh-CN"/>
        </w:rPr>
        <w:t xml:space="preserve"> </w:t>
      </w:r>
      <w:proofErr w:type="spellStart"/>
      <w:r w:rsidRPr="00F24B84">
        <w:rPr>
          <w:szCs w:val="24"/>
          <w:lang w:eastAsia="zh-CN"/>
        </w:rPr>
        <w:t>Jülich</w:t>
      </w:r>
      <w:proofErr w:type="spellEnd"/>
      <w:r w:rsidRPr="00F24B84">
        <w:rPr>
          <w:szCs w:val="24"/>
          <w:lang w:eastAsia="zh-CN"/>
        </w:rPr>
        <w:t xml:space="preserve"> GmbH, 52425 </w:t>
      </w:r>
      <w:proofErr w:type="spellStart"/>
      <w:r w:rsidRPr="00F24B84">
        <w:rPr>
          <w:szCs w:val="24"/>
          <w:lang w:eastAsia="zh-CN"/>
        </w:rPr>
        <w:t>Jülich</w:t>
      </w:r>
      <w:proofErr w:type="spellEnd"/>
      <w:r w:rsidRPr="00F24B84">
        <w:rPr>
          <w:szCs w:val="24"/>
          <w:lang w:eastAsia="zh-CN"/>
        </w:rPr>
        <w:t>, Germany</w:t>
      </w:r>
      <w:r>
        <w:rPr>
          <w:szCs w:val="24"/>
          <w:lang w:eastAsia="zh-CN"/>
        </w:rPr>
        <w:t>;</w:t>
      </w:r>
      <w:r w:rsidRPr="00F24B84">
        <w:rPr>
          <w:szCs w:val="24"/>
          <w:lang w:eastAsia="zh-CN"/>
        </w:rPr>
        <w:t xml:space="preserve"> Department of Neurology, Faculty of Medicine, RWTH Aachen University, 52074 Aachen, Germany</w:t>
      </w:r>
      <w:r w:rsidR="008B0452">
        <w:rPr>
          <w:rFonts w:hint="eastAsia"/>
          <w:szCs w:val="24"/>
          <w:lang w:eastAsia="zh-CN"/>
        </w:rPr>
        <w:t>,</w:t>
      </w:r>
      <w:r w:rsidR="008B0452">
        <w:rPr>
          <w:szCs w:val="24"/>
          <w:lang w:eastAsia="zh-CN"/>
        </w:rPr>
        <w:t xml:space="preserve"> ORCID: </w:t>
      </w:r>
      <w:r w:rsidR="008B0452" w:rsidRPr="008B0452">
        <w:rPr>
          <w:szCs w:val="24"/>
          <w:lang w:eastAsia="zh-CN"/>
        </w:rPr>
        <w:t>0000-0002-2032-4630</w:t>
      </w:r>
      <w:r w:rsidRPr="002B4947">
        <w:rPr>
          <w:szCs w:val="24"/>
          <w:lang w:eastAsia="zh-CN"/>
        </w:rPr>
        <w:t xml:space="preserve"> </w:t>
      </w:r>
    </w:p>
    <w:p w14:paraId="2A450335" w14:textId="77777777" w:rsidR="00FF380F" w:rsidRPr="002B4947" w:rsidRDefault="00FF380F" w:rsidP="00377964">
      <w:pPr>
        <w:pStyle w:val="TAMainText"/>
        <w:ind w:firstLine="0"/>
        <w:rPr>
          <w:b/>
          <w:bCs/>
          <w:szCs w:val="24"/>
          <w:lang w:eastAsia="zh-CN"/>
        </w:rPr>
      </w:pPr>
      <w:r w:rsidRPr="002B4947">
        <w:rPr>
          <w:rFonts w:hint="eastAsia"/>
          <w:b/>
          <w:bCs/>
          <w:szCs w:val="24"/>
          <w:lang w:eastAsia="zh-CN"/>
        </w:rPr>
        <w:t>R</w:t>
      </w:r>
      <w:r w:rsidRPr="002B4947">
        <w:rPr>
          <w:b/>
          <w:bCs/>
          <w:szCs w:val="24"/>
          <w:lang w:eastAsia="zh-CN"/>
        </w:rPr>
        <w:t xml:space="preserve">achel Nechushtai – </w:t>
      </w:r>
      <w:r w:rsidRPr="00F24B84">
        <w:rPr>
          <w:szCs w:val="24"/>
          <w:lang w:eastAsia="zh-CN"/>
        </w:rPr>
        <w:t xml:space="preserve">The Alexander Silberman Institute of Life Science, The Hebrew University of Jerusalem, Edmond J. </w:t>
      </w:r>
      <w:proofErr w:type="spellStart"/>
      <w:r w:rsidRPr="00F24B84">
        <w:rPr>
          <w:szCs w:val="24"/>
          <w:lang w:eastAsia="zh-CN"/>
        </w:rPr>
        <w:t>Safra</w:t>
      </w:r>
      <w:proofErr w:type="spellEnd"/>
      <w:r w:rsidRPr="00F24B84">
        <w:rPr>
          <w:szCs w:val="24"/>
          <w:lang w:eastAsia="zh-CN"/>
        </w:rPr>
        <w:t xml:space="preserve"> Campus at </w:t>
      </w:r>
      <w:proofErr w:type="spellStart"/>
      <w:r w:rsidRPr="00F24B84">
        <w:rPr>
          <w:szCs w:val="24"/>
          <w:lang w:eastAsia="zh-CN"/>
        </w:rPr>
        <w:t>Givat</w:t>
      </w:r>
      <w:proofErr w:type="spellEnd"/>
      <w:r w:rsidRPr="00F24B84">
        <w:rPr>
          <w:szCs w:val="24"/>
          <w:lang w:eastAsia="zh-CN"/>
        </w:rPr>
        <w:t xml:space="preserve"> Ram, 91904 Jerusalem, Israel;</w:t>
      </w:r>
      <w:r w:rsidRPr="00F24B84">
        <w:rPr>
          <w:b/>
          <w:bCs/>
          <w:szCs w:val="24"/>
          <w:lang w:eastAsia="zh-CN"/>
        </w:rPr>
        <w:t xml:space="preserve"> </w:t>
      </w:r>
      <w:r w:rsidRPr="002B4947">
        <w:rPr>
          <w:szCs w:val="24"/>
          <w:lang w:eastAsia="zh-CN"/>
        </w:rPr>
        <w:t>ORCID: 0000-0002-3219-954X</w:t>
      </w:r>
    </w:p>
    <w:p w14:paraId="3498DFEC" w14:textId="77777777" w:rsidR="00FF380F" w:rsidRPr="002B4947" w:rsidRDefault="00FF380F" w:rsidP="00F66CFF">
      <w:pPr>
        <w:pStyle w:val="TAMainText"/>
        <w:ind w:firstLine="0"/>
        <w:rPr>
          <w:b/>
          <w:bCs/>
          <w:szCs w:val="24"/>
          <w:lang w:eastAsia="zh-CN"/>
        </w:rPr>
      </w:pPr>
    </w:p>
    <w:p w14:paraId="67D32824" w14:textId="77777777" w:rsidR="00FF380F" w:rsidRPr="002B4947" w:rsidRDefault="00FF380F" w:rsidP="00DD6DBB">
      <w:pPr>
        <w:pStyle w:val="FAAuthorInfoSubtitle"/>
        <w:rPr>
          <w:szCs w:val="24"/>
        </w:rPr>
      </w:pPr>
      <w:r w:rsidRPr="002B4947">
        <w:rPr>
          <w:szCs w:val="24"/>
        </w:rPr>
        <w:t>Author Contributions</w:t>
      </w:r>
    </w:p>
    <w:p w14:paraId="2AB7CAE4" w14:textId="77777777" w:rsidR="00FF380F" w:rsidRPr="002B4947" w:rsidRDefault="00FF380F" w:rsidP="00C63AD4">
      <w:pPr>
        <w:pStyle w:val="StyleFACorrespondingAuthorFootnote7pt"/>
      </w:pPr>
      <w:r w:rsidRPr="002B4947">
        <w:t>K.Z. performed the calculations and data analysis. R.C., G.R., R.N. and P.C. supervised the project and wrote the paper with input from all authors.</w:t>
      </w:r>
    </w:p>
    <w:p w14:paraId="67EF5030" w14:textId="77777777" w:rsidR="00FF380F" w:rsidRPr="002B4947" w:rsidRDefault="00FF380F" w:rsidP="007F1E8F">
      <w:pPr>
        <w:pStyle w:val="BGKeywords"/>
        <w:rPr>
          <w:b/>
          <w:szCs w:val="24"/>
        </w:rPr>
      </w:pPr>
      <w:r w:rsidRPr="002B4947">
        <w:rPr>
          <w:rFonts w:hint="eastAsia"/>
          <w:b/>
          <w:szCs w:val="24"/>
        </w:rPr>
        <w:t>N</w:t>
      </w:r>
      <w:r w:rsidRPr="002B4947">
        <w:rPr>
          <w:b/>
          <w:szCs w:val="24"/>
        </w:rPr>
        <w:t>otes</w:t>
      </w:r>
    </w:p>
    <w:p w14:paraId="62E42697" w14:textId="77777777" w:rsidR="00FF380F" w:rsidRPr="002B4947" w:rsidRDefault="00FF380F" w:rsidP="007F1E8F">
      <w:pPr>
        <w:pStyle w:val="BGKeywords"/>
        <w:rPr>
          <w:szCs w:val="24"/>
          <w:lang w:eastAsia="zh-CN"/>
        </w:rPr>
      </w:pPr>
      <w:r w:rsidRPr="002B4947">
        <w:rPr>
          <w:szCs w:val="24"/>
          <w:lang w:eastAsia="zh-CN"/>
        </w:rPr>
        <w:t>The authors declare no competing financial interest.</w:t>
      </w:r>
    </w:p>
    <w:p w14:paraId="65A950EF" w14:textId="77777777" w:rsidR="00FF380F" w:rsidRPr="002B4947" w:rsidRDefault="00FF380F" w:rsidP="00DD6DBB">
      <w:pPr>
        <w:pStyle w:val="FAAuthorInfoSubtitle"/>
        <w:rPr>
          <w:szCs w:val="24"/>
        </w:rPr>
      </w:pPr>
      <w:r w:rsidRPr="002B4947">
        <w:rPr>
          <w:szCs w:val="24"/>
        </w:rPr>
        <w:t>Funding Sources</w:t>
      </w:r>
    </w:p>
    <w:p w14:paraId="2B92D81D" w14:textId="77777777" w:rsidR="00FF380F" w:rsidRPr="002B4947" w:rsidRDefault="00FF380F" w:rsidP="00C63AD4">
      <w:pPr>
        <w:pStyle w:val="StyleFACorrespondingAuthorFootnote7pt"/>
      </w:pPr>
      <w:r w:rsidRPr="002B4947">
        <w:t xml:space="preserve">K.Z. is supported by the Marie </w:t>
      </w:r>
      <w:proofErr w:type="spellStart"/>
      <w:r w:rsidRPr="002B4947">
        <w:t>Skłodowska</w:t>
      </w:r>
      <w:proofErr w:type="spellEnd"/>
      <w:r w:rsidRPr="002B4947">
        <w:t>-Curie grant agreement No. 765048.</w:t>
      </w:r>
    </w:p>
    <w:p w14:paraId="3B798A9B" w14:textId="77777777" w:rsidR="00FF380F" w:rsidRPr="002B4947" w:rsidRDefault="00FF380F" w:rsidP="000B5610">
      <w:pPr>
        <w:pStyle w:val="TDAcknowledgments"/>
        <w:spacing w:before="0" w:after="0"/>
        <w:ind w:firstLine="0"/>
        <w:jc w:val="left"/>
        <w:rPr>
          <w:szCs w:val="24"/>
        </w:rPr>
      </w:pPr>
      <w:r w:rsidRPr="002B4947">
        <w:rPr>
          <w:szCs w:val="24"/>
        </w:rPr>
        <w:t>ACKNOWLEDGMENT</w:t>
      </w:r>
    </w:p>
    <w:p w14:paraId="40C72D62" w14:textId="77777777" w:rsidR="00FF380F" w:rsidRPr="002B4947" w:rsidRDefault="00FF380F" w:rsidP="007F1E8F">
      <w:pPr>
        <w:pStyle w:val="TDAcknowledgments"/>
        <w:spacing w:before="0" w:after="240"/>
        <w:ind w:firstLine="0"/>
        <w:rPr>
          <w:szCs w:val="24"/>
        </w:rPr>
      </w:pPr>
      <w:r w:rsidRPr="002B4947">
        <w:rPr>
          <w:szCs w:val="24"/>
        </w:rPr>
        <w:t>We acknowledge the computing time granted by RWTH Compute Cluster (No.3497 and No.20134).</w:t>
      </w:r>
    </w:p>
    <w:p w14:paraId="3424D09C" w14:textId="77777777" w:rsidR="00FF380F" w:rsidRPr="002B4947" w:rsidRDefault="00FF380F" w:rsidP="00DD6DBB">
      <w:pPr>
        <w:rPr>
          <w:szCs w:val="24"/>
        </w:rPr>
      </w:pPr>
      <w:r w:rsidRPr="002B4947">
        <w:rPr>
          <w:szCs w:val="24"/>
        </w:rPr>
        <w:lastRenderedPageBreak/>
        <w:t>ABBREVIATIONS</w:t>
      </w:r>
    </w:p>
    <w:p w14:paraId="0363B982" w14:textId="77777777" w:rsidR="00FF380F" w:rsidRDefault="00FF380F" w:rsidP="007F3467">
      <w:pPr>
        <w:spacing w:line="480" w:lineRule="auto"/>
        <w:rPr>
          <w:szCs w:val="24"/>
        </w:rPr>
      </w:pPr>
      <w:proofErr w:type="spellStart"/>
      <w:r w:rsidRPr="002B4947">
        <w:rPr>
          <w:szCs w:val="24"/>
        </w:rPr>
        <w:t>mNT</w:t>
      </w:r>
      <w:proofErr w:type="spellEnd"/>
      <w:r w:rsidRPr="002B4947">
        <w:rPr>
          <w:szCs w:val="24"/>
        </w:rPr>
        <w:t xml:space="preserve">, </w:t>
      </w:r>
      <w:proofErr w:type="spellStart"/>
      <w:r w:rsidRPr="002B4947">
        <w:rPr>
          <w:szCs w:val="24"/>
        </w:rPr>
        <w:t>mitoNEET</w:t>
      </w:r>
      <w:proofErr w:type="spellEnd"/>
      <w:r w:rsidRPr="002B4947">
        <w:rPr>
          <w:szCs w:val="24"/>
        </w:rPr>
        <w:t xml:space="preserve">; </w:t>
      </w:r>
      <w:r w:rsidRPr="002B4947">
        <w:rPr>
          <w:b/>
          <w:szCs w:val="24"/>
        </w:rPr>
        <w:t>A</w:t>
      </w:r>
      <w:r w:rsidRPr="002B4947">
        <w:rPr>
          <w:bCs/>
          <w:szCs w:val="24"/>
        </w:rPr>
        <w:t>,</w:t>
      </w:r>
      <w:r w:rsidRPr="002B4947">
        <w:rPr>
          <w:b/>
          <w:szCs w:val="24"/>
        </w:rPr>
        <w:t xml:space="preserve"> </w:t>
      </w:r>
      <w:r w:rsidRPr="002B4947">
        <w:rPr>
          <w:bCs/>
          <w:szCs w:val="24"/>
        </w:rPr>
        <w:t>2-benzamido-4-(1,2,3,4-tetrahydronaphthalen-2-yl)-thiophene-3-carboxylate;</w:t>
      </w:r>
      <w:r w:rsidRPr="002B4947">
        <w:rPr>
          <w:szCs w:val="24"/>
        </w:rPr>
        <w:t xml:space="preserve"> RMS, root mean squared; MD, molecular dynamics; PME, particle mesh Ewald; </w:t>
      </w:r>
      <w:proofErr w:type="spellStart"/>
      <w:r w:rsidRPr="002B4947">
        <w:rPr>
          <w:szCs w:val="24"/>
        </w:rPr>
        <w:t>MetaD</w:t>
      </w:r>
      <w:proofErr w:type="spellEnd"/>
      <w:r w:rsidRPr="002B4947">
        <w:rPr>
          <w:szCs w:val="24"/>
        </w:rPr>
        <w:t xml:space="preserve">, </w:t>
      </w:r>
      <w:proofErr w:type="spellStart"/>
      <w:r w:rsidRPr="002B4947">
        <w:rPr>
          <w:szCs w:val="24"/>
        </w:rPr>
        <w:t>metadynamics</w:t>
      </w:r>
      <w:proofErr w:type="spellEnd"/>
      <w:r w:rsidRPr="002B4947">
        <w:rPr>
          <w:szCs w:val="24"/>
        </w:rPr>
        <w:t>; CVs, collective variables; FES, free energy surface.</w:t>
      </w:r>
    </w:p>
    <w:p w14:paraId="23D0529F" w14:textId="77777777" w:rsidR="00FF380F" w:rsidRDefault="00FF380F" w:rsidP="007F3467">
      <w:pPr>
        <w:spacing w:line="480" w:lineRule="auto"/>
        <w:rPr>
          <w:szCs w:val="24"/>
        </w:rPr>
      </w:pPr>
    </w:p>
    <w:p w14:paraId="09FE5F8D" w14:textId="77777777" w:rsidR="00FF380F" w:rsidRPr="001B1766" w:rsidRDefault="00FF380F" w:rsidP="001B1766">
      <w:pPr>
        <w:rPr>
          <w:szCs w:val="24"/>
        </w:rPr>
      </w:pPr>
      <w:bookmarkStart w:id="12" w:name="_Hlk116634037"/>
      <w:r w:rsidRPr="001B1766">
        <w:rPr>
          <w:szCs w:val="24"/>
        </w:rPr>
        <w:t>DATA AND SOFTWARE AVAILABILITY</w:t>
      </w:r>
    </w:p>
    <w:p w14:paraId="7EA46A21" w14:textId="77777777" w:rsidR="00FF380F" w:rsidRPr="00E63046" w:rsidRDefault="00FF380F" w:rsidP="001B1766">
      <w:pPr>
        <w:spacing w:line="480" w:lineRule="auto"/>
        <w:rPr>
          <w:szCs w:val="24"/>
        </w:rPr>
      </w:pPr>
      <w:r w:rsidRPr="00E23E1E">
        <w:rPr>
          <w:szCs w:val="24"/>
        </w:rPr>
        <w:t>ChemBio3D Ultra 12.0</w:t>
      </w:r>
      <w:r>
        <w:rPr>
          <w:szCs w:val="24"/>
        </w:rPr>
        <w:t>,</w:t>
      </w:r>
      <w:r w:rsidRPr="00E23E1E">
        <w:rPr>
          <w:szCs w:val="24"/>
        </w:rPr>
        <w:t xml:space="preserve"> Chem3D 16.0</w:t>
      </w:r>
      <w:r>
        <w:rPr>
          <w:szCs w:val="24"/>
        </w:rPr>
        <w:t xml:space="preserve"> (</w:t>
      </w:r>
      <w:r w:rsidRPr="00E63046">
        <w:rPr>
          <w:szCs w:val="24"/>
        </w:rPr>
        <w:t>http://www.cambridgesoft.com/</w:t>
      </w:r>
      <w:r>
        <w:rPr>
          <w:szCs w:val="24"/>
        </w:rPr>
        <w:t>)</w:t>
      </w:r>
      <w:r w:rsidRPr="00E23E1E">
        <w:rPr>
          <w:szCs w:val="24"/>
        </w:rPr>
        <w:t xml:space="preserve">, </w:t>
      </w:r>
      <w:r>
        <w:rPr>
          <w:szCs w:val="24"/>
        </w:rPr>
        <w:t xml:space="preserve">and </w:t>
      </w:r>
      <w:r w:rsidRPr="00E23E1E">
        <w:rPr>
          <w:szCs w:val="24"/>
        </w:rPr>
        <w:t xml:space="preserve">Gaussian 09 </w:t>
      </w:r>
      <w:r>
        <w:rPr>
          <w:szCs w:val="24"/>
        </w:rPr>
        <w:t>(</w:t>
      </w:r>
      <w:r w:rsidRPr="00E63046">
        <w:rPr>
          <w:szCs w:val="24"/>
        </w:rPr>
        <w:t>https://gaussian.com/</w:t>
      </w:r>
      <w:r>
        <w:rPr>
          <w:szCs w:val="24"/>
        </w:rPr>
        <w:t xml:space="preserve">) </w:t>
      </w:r>
      <w:r w:rsidRPr="00E23E1E">
        <w:rPr>
          <w:szCs w:val="24"/>
        </w:rPr>
        <w:t>software package</w:t>
      </w:r>
      <w:r>
        <w:rPr>
          <w:szCs w:val="24"/>
        </w:rPr>
        <w:t xml:space="preserve"> was used for ligand modeling. </w:t>
      </w:r>
      <w:r>
        <w:rPr>
          <w:rFonts w:hint="eastAsia"/>
          <w:szCs w:val="24"/>
        </w:rPr>
        <w:t>T</w:t>
      </w:r>
      <w:r w:rsidRPr="009B3413">
        <w:rPr>
          <w:szCs w:val="24"/>
        </w:rPr>
        <w:t xml:space="preserve">he </w:t>
      </w:r>
      <w:r>
        <w:rPr>
          <w:szCs w:val="24"/>
        </w:rPr>
        <w:t xml:space="preserve">program </w:t>
      </w:r>
      <w:r w:rsidRPr="00E23E1E">
        <w:rPr>
          <w:szCs w:val="24"/>
        </w:rPr>
        <w:t>Glide</w:t>
      </w:r>
      <w:r>
        <w:rPr>
          <w:szCs w:val="24"/>
        </w:rPr>
        <w:t xml:space="preserve"> was used for the ligand/protein docking (</w:t>
      </w:r>
      <w:r w:rsidRPr="00E63046">
        <w:rPr>
          <w:szCs w:val="24"/>
        </w:rPr>
        <w:t>https://www.schrodinger.com/products/glide</w:t>
      </w:r>
      <w:r>
        <w:rPr>
          <w:szCs w:val="24"/>
        </w:rPr>
        <w:t>). The</w:t>
      </w:r>
      <w:r w:rsidRPr="009B3413">
        <w:rPr>
          <w:szCs w:val="24"/>
        </w:rPr>
        <w:t xml:space="preserve"> softw</w:t>
      </w:r>
      <w:r>
        <w:rPr>
          <w:szCs w:val="24"/>
        </w:rPr>
        <w:t>a</w:t>
      </w:r>
      <w:r w:rsidRPr="009B3413">
        <w:rPr>
          <w:szCs w:val="24"/>
        </w:rPr>
        <w:t xml:space="preserve">re used here </w:t>
      </w:r>
      <w:r>
        <w:rPr>
          <w:szCs w:val="24"/>
        </w:rPr>
        <w:t xml:space="preserve">for </w:t>
      </w:r>
      <w:proofErr w:type="spellStart"/>
      <w:r>
        <w:rPr>
          <w:szCs w:val="24"/>
        </w:rPr>
        <w:t>for</w:t>
      </w:r>
      <w:proofErr w:type="spellEnd"/>
      <w:r>
        <w:rPr>
          <w:szCs w:val="24"/>
        </w:rPr>
        <w:t xml:space="preserve"> MD and volume-based </w:t>
      </w:r>
      <w:proofErr w:type="spellStart"/>
      <w:r>
        <w:rPr>
          <w:szCs w:val="24"/>
        </w:rPr>
        <w:t>metadynamics</w:t>
      </w:r>
      <w:proofErr w:type="spellEnd"/>
      <w:r>
        <w:rPr>
          <w:szCs w:val="24"/>
        </w:rPr>
        <w:t xml:space="preserve"> is</w:t>
      </w:r>
      <w:r w:rsidRPr="009B3413">
        <w:rPr>
          <w:szCs w:val="24"/>
        </w:rPr>
        <w:t xml:space="preserve"> freely available. It consists of G</w:t>
      </w:r>
      <w:r>
        <w:rPr>
          <w:rFonts w:hint="eastAsia"/>
          <w:szCs w:val="24"/>
        </w:rPr>
        <w:t>ROMACS</w:t>
      </w:r>
      <w:r w:rsidRPr="009B3413">
        <w:rPr>
          <w:szCs w:val="24"/>
        </w:rPr>
        <w:t xml:space="preserve"> (</w:t>
      </w:r>
      <w:r w:rsidRPr="008D5506">
        <w:rPr>
          <w:szCs w:val="24"/>
        </w:rPr>
        <w:t>https://www.gromacs.org/</w:t>
      </w:r>
      <w:r w:rsidRPr="009B3413">
        <w:rPr>
          <w:szCs w:val="24"/>
        </w:rPr>
        <w:t xml:space="preserve">) and of </w:t>
      </w:r>
      <w:r>
        <w:rPr>
          <w:szCs w:val="24"/>
        </w:rPr>
        <w:t>PLUMED</w:t>
      </w:r>
      <w:r w:rsidRPr="009B3413">
        <w:rPr>
          <w:szCs w:val="24"/>
        </w:rPr>
        <w:t xml:space="preserve"> (</w:t>
      </w:r>
      <w:r w:rsidRPr="008D5506">
        <w:rPr>
          <w:szCs w:val="24"/>
        </w:rPr>
        <w:t>https://www.plumed.org/</w:t>
      </w:r>
      <w:r w:rsidRPr="009B3413">
        <w:rPr>
          <w:szCs w:val="24"/>
        </w:rPr>
        <w:t>). All the data produced by this research is available upon request.</w:t>
      </w:r>
    </w:p>
    <w:bookmarkEnd w:id="12"/>
    <w:p w14:paraId="04885FE4" w14:textId="77777777" w:rsidR="00FF380F" w:rsidRDefault="00FF380F" w:rsidP="007F3467">
      <w:pPr>
        <w:spacing w:line="480" w:lineRule="auto"/>
        <w:rPr>
          <w:szCs w:val="24"/>
        </w:rPr>
      </w:pPr>
    </w:p>
    <w:p w14:paraId="7ED35084" w14:textId="77777777" w:rsidR="00FF380F" w:rsidRPr="002B4947" w:rsidRDefault="00FF380F" w:rsidP="007F3467">
      <w:pPr>
        <w:spacing w:line="480" w:lineRule="auto"/>
        <w:rPr>
          <w:szCs w:val="24"/>
        </w:rPr>
      </w:pPr>
    </w:p>
    <w:p w14:paraId="0BC4DBFB" w14:textId="77777777" w:rsidR="00FF380F" w:rsidRPr="002B4947" w:rsidRDefault="00FF380F" w:rsidP="000B5610">
      <w:pPr>
        <w:pStyle w:val="TFReferencesSection"/>
        <w:spacing w:after="0"/>
        <w:ind w:firstLine="0"/>
        <w:rPr>
          <w:szCs w:val="24"/>
        </w:rPr>
      </w:pPr>
      <w:r w:rsidRPr="002B4947">
        <w:rPr>
          <w:szCs w:val="24"/>
        </w:rPr>
        <w:t>REFERENCES</w:t>
      </w:r>
    </w:p>
    <w:p w14:paraId="1A37E1C3" w14:textId="460A67BD" w:rsidR="00FF380F" w:rsidRPr="00720DFB" w:rsidRDefault="00FF380F" w:rsidP="00FF380F">
      <w:pPr>
        <w:pStyle w:val="EndNoteBibliography"/>
        <w:spacing w:after="0"/>
        <w:jc w:val="both"/>
      </w:pPr>
      <w:r>
        <w:t>(</w:t>
      </w:r>
      <w:r w:rsidRPr="00720DFB">
        <w:t>1</w:t>
      </w:r>
      <w:r>
        <w:t xml:space="preserve">) </w:t>
      </w:r>
      <w:r w:rsidRPr="00720DFB">
        <w:t xml:space="preserve">Paddock, M. L.; Wiley, S. E.; Axelrod, H. L.; Cohen, A. E.; Roy, M.; Abresch, E. C.; Capraro, D.; Murphy, A. N.; Nechushtai, R.; Dixon, J. E.; Jennings, P. A., MitoNEET is a </w:t>
      </w:r>
      <w:r>
        <w:t>U</w:t>
      </w:r>
      <w:r w:rsidRPr="00720DFB">
        <w:t xml:space="preserve">niquely </w:t>
      </w:r>
      <w:r>
        <w:t>F</w:t>
      </w:r>
      <w:r w:rsidRPr="00720DFB">
        <w:t xml:space="preserve">olded 2Fe-2S </w:t>
      </w:r>
      <w:r>
        <w:t>O</w:t>
      </w:r>
      <w:r w:rsidRPr="00720DFB">
        <w:t xml:space="preserve">uter </w:t>
      </w:r>
      <w:r>
        <w:t>M</w:t>
      </w:r>
      <w:r w:rsidRPr="00720DFB">
        <w:t xml:space="preserve">itochondrial </w:t>
      </w:r>
      <w:r>
        <w:t>M</w:t>
      </w:r>
      <w:r w:rsidRPr="00720DFB">
        <w:t xml:space="preserve">embrane </w:t>
      </w:r>
      <w:r>
        <w:t>P</w:t>
      </w:r>
      <w:r w:rsidRPr="00720DFB">
        <w:t xml:space="preserve">rotein </w:t>
      </w:r>
      <w:r>
        <w:t>S</w:t>
      </w:r>
      <w:r w:rsidRPr="00720DFB">
        <w:t xml:space="preserve">tabilized by </w:t>
      </w:r>
      <w:r>
        <w:t>P</w:t>
      </w:r>
      <w:r w:rsidRPr="00720DFB">
        <w:t xml:space="preserve">ioglitazone. </w:t>
      </w:r>
      <w:r w:rsidRPr="00720DFB">
        <w:rPr>
          <w:i/>
        </w:rPr>
        <w:t>P</w:t>
      </w:r>
      <w:r>
        <w:rPr>
          <w:i/>
        </w:rPr>
        <w:t>.</w:t>
      </w:r>
      <w:r w:rsidRPr="00720DFB">
        <w:rPr>
          <w:i/>
        </w:rPr>
        <w:t xml:space="preserve"> Natl</w:t>
      </w:r>
      <w:r>
        <w:rPr>
          <w:i/>
        </w:rPr>
        <w:t>.</w:t>
      </w:r>
      <w:r w:rsidRPr="00720DFB">
        <w:rPr>
          <w:i/>
        </w:rPr>
        <w:t xml:space="preserve"> Acad</w:t>
      </w:r>
      <w:r>
        <w:rPr>
          <w:i/>
        </w:rPr>
        <w:t>.</w:t>
      </w:r>
      <w:r w:rsidRPr="00720DFB">
        <w:rPr>
          <w:i/>
        </w:rPr>
        <w:t xml:space="preserve"> Sci</w:t>
      </w:r>
      <w:r>
        <w:rPr>
          <w:i/>
        </w:rPr>
        <w:t>.</w:t>
      </w:r>
      <w:r w:rsidRPr="00720DFB">
        <w:rPr>
          <w:i/>
        </w:rPr>
        <w:t xml:space="preserve"> USA </w:t>
      </w:r>
      <w:r w:rsidRPr="00720DFB">
        <w:rPr>
          <w:b/>
        </w:rPr>
        <w:t>2007</w:t>
      </w:r>
      <w:r w:rsidRPr="00720DFB">
        <w:t xml:space="preserve">, </w:t>
      </w:r>
      <w:r w:rsidRPr="00FF380F">
        <w:rPr>
          <w:i/>
          <w:iCs/>
        </w:rPr>
        <w:t>104</w:t>
      </w:r>
      <w:r w:rsidRPr="00720DFB">
        <w:t>, 14342-14347.</w:t>
      </w:r>
    </w:p>
    <w:p w14:paraId="6CDCA471" w14:textId="1B21BBA1" w:rsidR="00FF380F" w:rsidRPr="00720DFB" w:rsidRDefault="00FF380F" w:rsidP="00FF380F">
      <w:pPr>
        <w:pStyle w:val="EndNoteBibliography"/>
        <w:spacing w:after="0"/>
        <w:jc w:val="both"/>
      </w:pPr>
      <w:r>
        <w:t>(</w:t>
      </w:r>
      <w:r w:rsidRPr="00720DFB">
        <w:t>2</w:t>
      </w:r>
      <w:r>
        <w:t xml:space="preserve">) </w:t>
      </w:r>
      <w:r w:rsidRPr="00720DFB">
        <w:t xml:space="preserve">Lin, J. Z.; Zhou, T.; Ye, K. Q.; Wang, J. F., Crystal </w:t>
      </w:r>
      <w:r>
        <w:t>S</w:t>
      </w:r>
      <w:r w:rsidRPr="00720DFB">
        <w:t xml:space="preserve">tructure of </w:t>
      </w:r>
      <w:r>
        <w:t>H</w:t>
      </w:r>
      <w:r w:rsidRPr="00720DFB">
        <w:t xml:space="preserve">uman </w:t>
      </w:r>
      <w:r>
        <w:t>M</w:t>
      </w:r>
      <w:r w:rsidRPr="00720DFB">
        <w:t xml:space="preserve">itoNEET </w:t>
      </w:r>
      <w:r>
        <w:t>R</w:t>
      </w:r>
      <w:r w:rsidRPr="00720DFB">
        <w:t xml:space="preserve">eveals </w:t>
      </w:r>
      <w:r>
        <w:t>D</w:t>
      </w:r>
      <w:r w:rsidRPr="00720DFB">
        <w:t xml:space="preserve">istinct </w:t>
      </w:r>
      <w:r>
        <w:t>G</w:t>
      </w:r>
      <w:r w:rsidRPr="00720DFB">
        <w:t xml:space="preserve">roups of </w:t>
      </w:r>
      <w:r>
        <w:t>I</w:t>
      </w:r>
      <w:r w:rsidRPr="00720DFB">
        <w:t>ron-</w:t>
      </w:r>
      <w:r>
        <w:t>S</w:t>
      </w:r>
      <w:r w:rsidRPr="00720DFB">
        <w:t xml:space="preserve">ulfur </w:t>
      </w:r>
      <w:r>
        <w:t>P</w:t>
      </w:r>
      <w:r w:rsidRPr="00720DFB">
        <w:t xml:space="preserve">roteins. </w:t>
      </w:r>
      <w:r w:rsidRPr="00720DFB">
        <w:rPr>
          <w:i/>
        </w:rPr>
        <w:t>P</w:t>
      </w:r>
      <w:r>
        <w:rPr>
          <w:i/>
        </w:rPr>
        <w:t>.</w:t>
      </w:r>
      <w:r w:rsidRPr="00720DFB">
        <w:rPr>
          <w:i/>
        </w:rPr>
        <w:t xml:space="preserve"> Natl</w:t>
      </w:r>
      <w:r>
        <w:rPr>
          <w:i/>
        </w:rPr>
        <w:t>.</w:t>
      </w:r>
      <w:r w:rsidRPr="00720DFB">
        <w:rPr>
          <w:i/>
        </w:rPr>
        <w:t xml:space="preserve"> Acad</w:t>
      </w:r>
      <w:r>
        <w:rPr>
          <w:i/>
        </w:rPr>
        <w:t>.</w:t>
      </w:r>
      <w:r w:rsidRPr="00720DFB">
        <w:rPr>
          <w:i/>
        </w:rPr>
        <w:t xml:space="preserve"> Sci</w:t>
      </w:r>
      <w:r>
        <w:rPr>
          <w:i/>
        </w:rPr>
        <w:t>.</w:t>
      </w:r>
      <w:r w:rsidRPr="00720DFB">
        <w:rPr>
          <w:i/>
        </w:rPr>
        <w:t xml:space="preserve"> USA </w:t>
      </w:r>
      <w:r w:rsidRPr="00720DFB">
        <w:rPr>
          <w:b/>
        </w:rPr>
        <w:t>2007</w:t>
      </w:r>
      <w:r w:rsidRPr="00720DFB">
        <w:t xml:space="preserve">, </w:t>
      </w:r>
      <w:r w:rsidRPr="00FF380F">
        <w:rPr>
          <w:i/>
          <w:iCs/>
        </w:rPr>
        <w:t>104</w:t>
      </w:r>
      <w:r w:rsidRPr="00720DFB">
        <w:t>, 14640-14645.</w:t>
      </w:r>
    </w:p>
    <w:p w14:paraId="679D8280" w14:textId="5EF38FA6" w:rsidR="00FF380F" w:rsidRPr="00720DFB" w:rsidRDefault="00FF380F" w:rsidP="00FF380F">
      <w:pPr>
        <w:pStyle w:val="EndNoteBibliography"/>
        <w:spacing w:after="0"/>
        <w:jc w:val="both"/>
      </w:pPr>
      <w:r>
        <w:t>(</w:t>
      </w:r>
      <w:r w:rsidRPr="00720DFB">
        <w:t>3</w:t>
      </w:r>
      <w:r>
        <w:t xml:space="preserve">) </w:t>
      </w:r>
      <w:r w:rsidRPr="00720DFB">
        <w:t xml:space="preserve">Hou, X. W.; Liu, R. J.; Ross, S.; Smart, E. J.; Zhu, H. N.; Gong, W. M., Crystallographic </w:t>
      </w:r>
      <w:r>
        <w:t>S</w:t>
      </w:r>
      <w:r w:rsidRPr="00720DFB">
        <w:t xml:space="preserve">tudies of </w:t>
      </w:r>
      <w:r>
        <w:t>H</w:t>
      </w:r>
      <w:r w:rsidRPr="00720DFB">
        <w:t xml:space="preserve">uman MitoNEET. </w:t>
      </w:r>
      <w:r w:rsidRPr="00720DFB">
        <w:rPr>
          <w:i/>
        </w:rPr>
        <w:t>J</w:t>
      </w:r>
      <w:r>
        <w:rPr>
          <w:i/>
        </w:rPr>
        <w:t>.</w:t>
      </w:r>
      <w:r w:rsidRPr="00720DFB">
        <w:rPr>
          <w:i/>
        </w:rPr>
        <w:t xml:space="preserve"> Biol</w:t>
      </w:r>
      <w:r>
        <w:rPr>
          <w:i/>
        </w:rPr>
        <w:t>.</w:t>
      </w:r>
      <w:r w:rsidRPr="00720DFB">
        <w:rPr>
          <w:i/>
        </w:rPr>
        <w:t xml:space="preserve"> Chem</w:t>
      </w:r>
      <w:r>
        <w:rPr>
          <w:i/>
        </w:rPr>
        <w:t>.</w:t>
      </w:r>
      <w:r w:rsidRPr="00720DFB">
        <w:rPr>
          <w:i/>
        </w:rPr>
        <w:t xml:space="preserve"> </w:t>
      </w:r>
      <w:r w:rsidRPr="00720DFB">
        <w:rPr>
          <w:b/>
        </w:rPr>
        <w:t>2007</w:t>
      </w:r>
      <w:r w:rsidRPr="00720DFB">
        <w:t xml:space="preserve">, </w:t>
      </w:r>
      <w:r w:rsidRPr="00FF380F">
        <w:rPr>
          <w:i/>
          <w:iCs/>
        </w:rPr>
        <w:t>282</w:t>
      </w:r>
      <w:r w:rsidRPr="00720DFB">
        <w:t>, 33242-33246.</w:t>
      </w:r>
    </w:p>
    <w:p w14:paraId="20A467A8" w14:textId="03C12832" w:rsidR="00FF380F" w:rsidRPr="00720DFB" w:rsidRDefault="00FF380F" w:rsidP="00FF380F">
      <w:pPr>
        <w:pStyle w:val="EndNoteBibliography"/>
        <w:spacing w:after="0"/>
        <w:jc w:val="both"/>
      </w:pPr>
      <w:r>
        <w:t>(</w:t>
      </w:r>
      <w:r w:rsidRPr="00720DFB">
        <w:t>4</w:t>
      </w:r>
      <w:r>
        <w:t xml:space="preserve">) </w:t>
      </w:r>
      <w:r w:rsidRPr="00720DFB">
        <w:t xml:space="preserve">Nechushtai, R.; Karmi, O.; Zuo, K.; Marjault, H. B.; Darash-Yahana, M.; Sohn, Y. S.; King, S. D.; Zandalinas, S. I.; Carloni, P.; Mittler, R., The </w:t>
      </w:r>
      <w:r>
        <w:t>B</w:t>
      </w:r>
      <w:r w:rsidRPr="00720DFB">
        <w:t xml:space="preserve">alancing </w:t>
      </w:r>
      <w:r>
        <w:t>A</w:t>
      </w:r>
      <w:r w:rsidRPr="00720DFB">
        <w:t xml:space="preserve">ct of NEET </w:t>
      </w:r>
      <w:r>
        <w:t>P</w:t>
      </w:r>
      <w:r w:rsidRPr="00720DFB">
        <w:t xml:space="preserve">roteins: </w:t>
      </w:r>
      <w:r w:rsidRPr="00720DFB">
        <w:lastRenderedPageBreak/>
        <w:t xml:space="preserve">Iron, ROS, </w:t>
      </w:r>
      <w:r>
        <w:t>C</w:t>
      </w:r>
      <w:r w:rsidRPr="00720DFB">
        <w:t xml:space="preserve">alcium and </w:t>
      </w:r>
      <w:r>
        <w:t>M</w:t>
      </w:r>
      <w:r w:rsidRPr="00720DFB">
        <w:t xml:space="preserve">etabolism. </w:t>
      </w:r>
      <w:r w:rsidRPr="00720DFB">
        <w:rPr>
          <w:i/>
        </w:rPr>
        <w:t>Biochim</w:t>
      </w:r>
      <w:r>
        <w:rPr>
          <w:i/>
        </w:rPr>
        <w:t>.</w:t>
      </w:r>
      <w:r w:rsidRPr="00720DFB">
        <w:rPr>
          <w:i/>
        </w:rPr>
        <w:t xml:space="preserve"> Biophys</w:t>
      </w:r>
      <w:r>
        <w:rPr>
          <w:i/>
        </w:rPr>
        <w:t>.</w:t>
      </w:r>
      <w:r w:rsidRPr="00720DFB">
        <w:rPr>
          <w:i/>
        </w:rPr>
        <w:t xml:space="preserve"> Acta Mol</w:t>
      </w:r>
      <w:r>
        <w:rPr>
          <w:i/>
        </w:rPr>
        <w:t>.</w:t>
      </w:r>
      <w:r w:rsidRPr="00720DFB">
        <w:rPr>
          <w:i/>
        </w:rPr>
        <w:t xml:space="preserve"> Cell</w:t>
      </w:r>
      <w:r>
        <w:rPr>
          <w:i/>
        </w:rPr>
        <w:t>.</w:t>
      </w:r>
      <w:r w:rsidRPr="00720DFB">
        <w:rPr>
          <w:i/>
        </w:rPr>
        <w:t xml:space="preserve"> Res</w:t>
      </w:r>
      <w:r>
        <w:rPr>
          <w:i/>
        </w:rPr>
        <w:t>.</w:t>
      </w:r>
      <w:r w:rsidRPr="00720DFB">
        <w:rPr>
          <w:i/>
        </w:rPr>
        <w:t xml:space="preserve"> </w:t>
      </w:r>
      <w:r w:rsidRPr="00720DFB">
        <w:rPr>
          <w:b/>
        </w:rPr>
        <w:t>2020</w:t>
      </w:r>
      <w:r w:rsidRPr="00720DFB">
        <w:t xml:space="preserve">, </w:t>
      </w:r>
      <w:r w:rsidRPr="00FF380F">
        <w:rPr>
          <w:i/>
          <w:iCs/>
        </w:rPr>
        <w:t>1867</w:t>
      </w:r>
      <w:r w:rsidRPr="00720DFB">
        <w:t>, 118805.</w:t>
      </w:r>
    </w:p>
    <w:p w14:paraId="5E2954DF" w14:textId="03BAEBA3" w:rsidR="00FF380F" w:rsidRPr="00720DFB" w:rsidRDefault="00FF380F" w:rsidP="00FF380F">
      <w:pPr>
        <w:pStyle w:val="EndNoteBibliography"/>
        <w:spacing w:after="0"/>
        <w:jc w:val="both"/>
      </w:pPr>
      <w:r>
        <w:t>(</w:t>
      </w:r>
      <w:r w:rsidRPr="00720DFB">
        <w:t>5</w:t>
      </w:r>
      <w:r>
        <w:t xml:space="preserve">) </w:t>
      </w:r>
      <w:r w:rsidRPr="00720DFB">
        <w:t>Marjault, H. B.</w:t>
      </w:r>
      <w:r>
        <w:t>;</w:t>
      </w:r>
      <w:r w:rsidRPr="00720DFB">
        <w:t xml:space="preserve"> Z</w:t>
      </w:r>
      <w:r>
        <w:t>uo</w:t>
      </w:r>
      <w:r w:rsidRPr="00720DFB">
        <w:t xml:space="preserve">, K.; Mittler, R.; Carloni, P.; Nechushtai, R. NEET </w:t>
      </w:r>
      <w:r>
        <w:t>P</w:t>
      </w:r>
      <w:r w:rsidRPr="00720DFB">
        <w:t xml:space="preserve">roteins as </w:t>
      </w:r>
      <w:r>
        <w:t>N</w:t>
      </w:r>
      <w:r w:rsidRPr="00720DFB">
        <w:t xml:space="preserve">ovel </w:t>
      </w:r>
      <w:r>
        <w:t>D</w:t>
      </w:r>
      <w:r w:rsidRPr="00720DFB">
        <w:t xml:space="preserve">rug </w:t>
      </w:r>
      <w:r>
        <w:t>T</w:t>
      </w:r>
      <w:r w:rsidRPr="00720DFB">
        <w:t xml:space="preserve">argets for </w:t>
      </w:r>
      <w:r>
        <w:t>M</w:t>
      </w:r>
      <w:r w:rsidRPr="00720DFB">
        <w:t xml:space="preserve">itochondrial </w:t>
      </w:r>
      <w:r>
        <w:t>D</w:t>
      </w:r>
      <w:r w:rsidRPr="00720DFB">
        <w:t xml:space="preserve">ysfunction. In </w:t>
      </w:r>
      <w:r w:rsidRPr="00720DFB">
        <w:rPr>
          <w:i/>
        </w:rPr>
        <w:t>Clinical Bioenergetics</w:t>
      </w:r>
      <w:r w:rsidRPr="00720DFB">
        <w:t xml:space="preserve">, Ostojic, S., Ed.; Academic Press: </w:t>
      </w:r>
      <w:r w:rsidRPr="00FF380F">
        <w:rPr>
          <w:b/>
          <w:bCs/>
        </w:rPr>
        <w:t>2021</w:t>
      </w:r>
      <w:r w:rsidRPr="00720DFB">
        <w:t xml:space="preserve">; </w:t>
      </w:r>
      <w:r w:rsidRPr="00FF380F">
        <w:rPr>
          <w:i/>
          <w:iCs/>
        </w:rPr>
        <w:t>Chapter 21</w:t>
      </w:r>
      <w:r w:rsidRPr="00720DFB">
        <w:t>, 477-488.</w:t>
      </w:r>
    </w:p>
    <w:p w14:paraId="72A9DBBB" w14:textId="1BDABB52" w:rsidR="00FF380F" w:rsidRPr="00720DFB" w:rsidRDefault="00FF380F" w:rsidP="00FF380F">
      <w:pPr>
        <w:pStyle w:val="EndNoteBibliography"/>
        <w:spacing w:after="0"/>
        <w:jc w:val="both"/>
      </w:pPr>
      <w:r>
        <w:t>(</w:t>
      </w:r>
      <w:r w:rsidRPr="00720DFB">
        <w:t>6</w:t>
      </w:r>
      <w:r>
        <w:t xml:space="preserve">) </w:t>
      </w:r>
      <w:r w:rsidRPr="00720DFB">
        <w:t xml:space="preserve">Dicus, M. M.; Conlan, A.; Nechushtai, R.; Jennings, P. A.; Paddock, M. L.; Britt, R. D.; Stoll, S., Binding of Histidine in the (Cys)(3)(His)(1)-Coordinated [2Fe-2S] Cluster of Human </w:t>
      </w:r>
      <w:r>
        <w:t>M</w:t>
      </w:r>
      <w:r w:rsidRPr="00720DFB">
        <w:t xml:space="preserve">itoNEET. </w:t>
      </w:r>
      <w:r w:rsidRPr="00720DFB">
        <w:rPr>
          <w:i/>
        </w:rPr>
        <w:t>J</w:t>
      </w:r>
      <w:r>
        <w:rPr>
          <w:i/>
        </w:rPr>
        <w:t>.</w:t>
      </w:r>
      <w:r w:rsidRPr="00720DFB">
        <w:rPr>
          <w:i/>
        </w:rPr>
        <w:t xml:space="preserve"> Am</w:t>
      </w:r>
      <w:r>
        <w:rPr>
          <w:i/>
        </w:rPr>
        <w:t>.</w:t>
      </w:r>
      <w:r w:rsidRPr="00720DFB">
        <w:rPr>
          <w:i/>
        </w:rPr>
        <w:t xml:space="preserve"> Chem</w:t>
      </w:r>
      <w:r>
        <w:rPr>
          <w:i/>
        </w:rPr>
        <w:t>.</w:t>
      </w:r>
      <w:r w:rsidRPr="00720DFB">
        <w:rPr>
          <w:i/>
        </w:rPr>
        <w:t xml:space="preserve"> Soc</w:t>
      </w:r>
      <w:r>
        <w:rPr>
          <w:i/>
        </w:rPr>
        <w:t>.</w:t>
      </w:r>
      <w:r w:rsidRPr="00720DFB">
        <w:rPr>
          <w:i/>
        </w:rPr>
        <w:t xml:space="preserve"> </w:t>
      </w:r>
      <w:r w:rsidRPr="00720DFB">
        <w:rPr>
          <w:b/>
        </w:rPr>
        <w:t>2010</w:t>
      </w:r>
      <w:r w:rsidRPr="00720DFB">
        <w:t xml:space="preserve">, </w:t>
      </w:r>
      <w:r w:rsidRPr="00FF380F">
        <w:rPr>
          <w:i/>
          <w:iCs/>
        </w:rPr>
        <w:t>132</w:t>
      </w:r>
      <w:r w:rsidRPr="00720DFB">
        <w:t>, 2037-2049.</w:t>
      </w:r>
    </w:p>
    <w:p w14:paraId="795F8446" w14:textId="5DC24454" w:rsidR="00FF380F" w:rsidRPr="00720DFB" w:rsidRDefault="00FF380F" w:rsidP="00FF380F">
      <w:pPr>
        <w:pStyle w:val="EndNoteBibliography"/>
        <w:spacing w:after="0"/>
        <w:jc w:val="both"/>
      </w:pPr>
      <w:r>
        <w:t>(</w:t>
      </w:r>
      <w:r w:rsidRPr="00720DFB">
        <w:t>7</w:t>
      </w:r>
      <w:r>
        <w:t xml:space="preserve">) </w:t>
      </w:r>
      <w:r w:rsidRPr="00720DFB">
        <w:t xml:space="preserve">Zuo, K.; Marjault, H. B.; Bren, K. L.; Rossetti, G.; Nechushtai, R.; Carloni, P., The </w:t>
      </w:r>
      <w:r>
        <w:t>T</w:t>
      </w:r>
      <w:r w:rsidRPr="00720DFB">
        <w:t xml:space="preserve">wo </w:t>
      </w:r>
      <w:r>
        <w:t>R</w:t>
      </w:r>
      <w:r w:rsidRPr="00720DFB">
        <w:t xml:space="preserve">edox </w:t>
      </w:r>
      <w:r>
        <w:t>S</w:t>
      </w:r>
      <w:r w:rsidRPr="00720DFB">
        <w:t xml:space="preserve">tates of the </w:t>
      </w:r>
      <w:r>
        <w:t>H</w:t>
      </w:r>
      <w:r w:rsidRPr="00720DFB">
        <w:t xml:space="preserve">uman NEET </w:t>
      </w:r>
      <w:r>
        <w:t>P</w:t>
      </w:r>
      <w:r w:rsidRPr="00720DFB">
        <w:t>roteins</w:t>
      </w:r>
      <w:r>
        <w:t>’</w:t>
      </w:r>
      <w:r w:rsidRPr="00720DFB">
        <w:t xml:space="preserve"> [2Fe-2S] </w:t>
      </w:r>
      <w:r>
        <w:t>C</w:t>
      </w:r>
      <w:r w:rsidRPr="00720DFB">
        <w:t xml:space="preserve">lusters. </w:t>
      </w:r>
      <w:r w:rsidRPr="00720DFB">
        <w:rPr>
          <w:i/>
        </w:rPr>
        <w:t>J</w:t>
      </w:r>
      <w:r>
        <w:rPr>
          <w:i/>
        </w:rPr>
        <w:t>.</w:t>
      </w:r>
      <w:r w:rsidRPr="00720DFB">
        <w:rPr>
          <w:i/>
        </w:rPr>
        <w:t xml:space="preserve"> Biol</w:t>
      </w:r>
      <w:r>
        <w:rPr>
          <w:i/>
        </w:rPr>
        <w:t>.</w:t>
      </w:r>
      <w:r w:rsidRPr="00720DFB">
        <w:rPr>
          <w:i/>
        </w:rPr>
        <w:t xml:space="preserve"> Inorg</w:t>
      </w:r>
      <w:r>
        <w:rPr>
          <w:i/>
        </w:rPr>
        <w:t>.</w:t>
      </w:r>
      <w:r w:rsidRPr="00720DFB">
        <w:rPr>
          <w:i/>
        </w:rPr>
        <w:t xml:space="preserve"> Chem</w:t>
      </w:r>
      <w:r>
        <w:rPr>
          <w:i/>
        </w:rPr>
        <w:t>.</w:t>
      </w:r>
      <w:r w:rsidRPr="00720DFB">
        <w:rPr>
          <w:i/>
        </w:rPr>
        <w:t xml:space="preserve"> </w:t>
      </w:r>
      <w:r w:rsidRPr="00720DFB">
        <w:rPr>
          <w:b/>
        </w:rPr>
        <w:t>2021</w:t>
      </w:r>
      <w:r w:rsidRPr="00720DFB">
        <w:t xml:space="preserve">, </w:t>
      </w:r>
      <w:r w:rsidRPr="00FF380F">
        <w:rPr>
          <w:i/>
          <w:iCs/>
        </w:rPr>
        <w:t>26</w:t>
      </w:r>
      <w:r w:rsidRPr="00720DFB">
        <w:t>, 763-774.</w:t>
      </w:r>
    </w:p>
    <w:p w14:paraId="60626EA2" w14:textId="4A363A65" w:rsidR="00FF380F" w:rsidRPr="00720DFB" w:rsidRDefault="00CE3638" w:rsidP="00FF380F">
      <w:pPr>
        <w:pStyle w:val="EndNoteBibliography"/>
        <w:spacing w:after="0"/>
        <w:jc w:val="both"/>
      </w:pPr>
      <w:r>
        <w:t>(</w:t>
      </w:r>
      <w:r w:rsidR="00FF380F" w:rsidRPr="00720DFB">
        <w:t>8</w:t>
      </w:r>
      <w:r>
        <w:t xml:space="preserve">) </w:t>
      </w:r>
      <w:r w:rsidR="00FF380F" w:rsidRPr="00720DFB">
        <w:t>Geldenhuys, W. J.; Funk, M. O.; Barnes, K. F.; Carroll, R. T., Structure-</w:t>
      </w:r>
      <w:r>
        <w:t>b</w:t>
      </w:r>
      <w:r w:rsidR="00FF380F" w:rsidRPr="00720DFB">
        <w:t xml:space="preserve">ased </w:t>
      </w:r>
      <w:r>
        <w:t>D</w:t>
      </w:r>
      <w:r w:rsidR="00FF380F" w:rsidRPr="00720DFB">
        <w:t xml:space="preserve">esign of a </w:t>
      </w:r>
      <w:r>
        <w:t>T</w:t>
      </w:r>
      <w:r w:rsidR="00FF380F" w:rsidRPr="00720DFB">
        <w:t xml:space="preserve">hiazolidinedione </w:t>
      </w:r>
      <w:r>
        <w:t>w</w:t>
      </w:r>
      <w:r w:rsidR="00FF380F" w:rsidRPr="00720DFB">
        <w:t xml:space="preserve">hich </w:t>
      </w:r>
      <w:r>
        <w:t>T</w:t>
      </w:r>
      <w:r w:rsidR="00FF380F" w:rsidRPr="00720DFB">
        <w:t xml:space="preserve">argets the </w:t>
      </w:r>
      <w:r>
        <w:t>M</w:t>
      </w:r>
      <w:r w:rsidR="00FF380F" w:rsidRPr="00720DFB">
        <w:t xml:space="preserve">itochondrial </w:t>
      </w:r>
      <w:r>
        <w:t>P</w:t>
      </w:r>
      <w:r w:rsidR="00FF380F" w:rsidRPr="00720DFB">
        <w:t xml:space="preserve">rotein </w:t>
      </w:r>
      <w:r>
        <w:t>M</w:t>
      </w:r>
      <w:r w:rsidR="00FF380F" w:rsidRPr="00720DFB">
        <w:t xml:space="preserve">itoNEET. </w:t>
      </w:r>
      <w:r w:rsidR="00FF380F" w:rsidRPr="00720DFB">
        <w:rPr>
          <w:i/>
        </w:rPr>
        <w:t>Bioorg</w:t>
      </w:r>
      <w:r>
        <w:rPr>
          <w:i/>
        </w:rPr>
        <w:t>.</w:t>
      </w:r>
      <w:r w:rsidR="00FF380F" w:rsidRPr="00720DFB">
        <w:rPr>
          <w:i/>
        </w:rPr>
        <w:t xml:space="preserve"> Med</w:t>
      </w:r>
      <w:r>
        <w:rPr>
          <w:i/>
        </w:rPr>
        <w:t>.</w:t>
      </w:r>
      <w:r w:rsidR="00FF380F" w:rsidRPr="00720DFB">
        <w:rPr>
          <w:i/>
        </w:rPr>
        <w:t xml:space="preserve"> Chem</w:t>
      </w:r>
      <w:r>
        <w:rPr>
          <w:i/>
        </w:rPr>
        <w:t>.</w:t>
      </w:r>
      <w:r w:rsidR="00FF380F" w:rsidRPr="00720DFB">
        <w:rPr>
          <w:i/>
        </w:rPr>
        <w:t xml:space="preserve"> Lett</w:t>
      </w:r>
      <w:r>
        <w:rPr>
          <w:i/>
        </w:rPr>
        <w:t>.</w:t>
      </w:r>
      <w:r w:rsidR="00FF380F" w:rsidRPr="00720DFB">
        <w:rPr>
          <w:i/>
        </w:rPr>
        <w:t xml:space="preserve"> </w:t>
      </w:r>
      <w:r w:rsidR="00FF380F" w:rsidRPr="00720DFB">
        <w:rPr>
          <w:b/>
        </w:rPr>
        <w:t>2010</w:t>
      </w:r>
      <w:r w:rsidR="00FF380F" w:rsidRPr="00720DFB">
        <w:t xml:space="preserve">, </w:t>
      </w:r>
      <w:r w:rsidR="00FF380F" w:rsidRPr="00CE3638">
        <w:rPr>
          <w:i/>
          <w:iCs/>
        </w:rPr>
        <w:t>20</w:t>
      </w:r>
      <w:r w:rsidR="00FF380F" w:rsidRPr="00720DFB">
        <w:t>, 819-823.</w:t>
      </w:r>
    </w:p>
    <w:p w14:paraId="3B3B2AC6" w14:textId="215EFFF8" w:rsidR="00FF380F" w:rsidRPr="00720DFB" w:rsidRDefault="00CE3638" w:rsidP="00FF380F">
      <w:pPr>
        <w:pStyle w:val="EndNoteBibliography"/>
        <w:spacing w:after="0"/>
        <w:jc w:val="both"/>
      </w:pPr>
      <w:r>
        <w:t>(</w:t>
      </w:r>
      <w:r w:rsidR="00FF380F" w:rsidRPr="00720DFB">
        <w:t>9</w:t>
      </w:r>
      <w:r>
        <w:t xml:space="preserve">) </w:t>
      </w:r>
      <w:r w:rsidR="00FF380F" w:rsidRPr="00720DFB">
        <w:t xml:space="preserve">Geldenhuys, W. J.; Long, T. E.; Saralkar, P.; Iwasaki, T.; Nunez, R. A. A.; Nair, R. R.; Konkle, M. E.; Menze, M. A.; Pinti, M. V.; Hollander, J. M.; Hazlehurst, L. A.; Robart, A. R., Crystal </w:t>
      </w:r>
      <w:r>
        <w:t>S</w:t>
      </w:r>
      <w:r w:rsidR="00FF380F" w:rsidRPr="00720DFB">
        <w:t xml:space="preserve">tructure of the </w:t>
      </w:r>
      <w:r>
        <w:t>M</w:t>
      </w:r>
      <w:r w:rsidR="00FF380F" w:rsidRPr="00720DFB">
        <w:t xml:space="preserve">itochondrial </w:t>
      </w:r>
      <w:r>
        <w:t>P</w:t>
      </w:r>
      <w:r w:rsidR="00FF380F" w:rsidRPr="00720DFB">
        <w:t xml:space="preserve">rotein </w:t>
      </w:r>
      <w:r>
        <w:t>M</w:t>
      </w:r>
      <w:r w:rsidR="00FF380F" w:rsidRPr="00720DFB">
        <w:t xml:space="preserve">itoNEET </w:t>
      </w:r>
      <w:r>
        <w:t>B</w:t>
      </w:r>
      <w:r w:rsidR="00FF380F" w:rsidRPr="00720DFB">
        <w:t xml:space="preserve">ound to a </w:t>
      </w:r>
      <w:r>
        <w:t>B</w:t>
      </w:r>
      <w:r w:rsidR="00FF380F" w:rsidRPr="00720DFB">
        <w:t xml:space="preserve">enze-sulfonide </w:t>
      </w:r>
      <w:r>
        <w:t>L</w:t>
      </w:r>
      <w:r w:rsidR="00FF380F" w:rsidRPr="00720DFB">
        <w:t xml:space="preserve">igand. </w:t>
      </w:r>
      <w:r w:rsidR="00FF380F" w:rsidRPr="00720DFB">
        <w:rPr>
          <w:i/>
        </w:rPr>
        <w:t>Commun</w:t>
      </w:r>
      <w:r>
        <w:rPr>
          <w:i/>
        </w:rPr>
        <w:t>.</w:t>
      </w:r>
      <w:r w:rsidR="00FF380F" w:rsidRPr="00720DFB">
        <w:rPr>
          <w:i/>
        </w:rPr>
        <w:t xml:space="preserve"> Chem</w:t>
      </w:r>
      <w:r>
        <w:rPr>
          <w:i/>
        </w:rPr>
        <w:t>.</w:t>
      </w:r>
      <w:r w:rsidR="00FF380F" w:rsidRPr="00720DFB">
        <w:rPr>
          <w:i/>
        </w:rPr>
        <w:t xml:space="preserve"> </w:t>
      </w:r>
      <w:r w:rsidR="00FF380F" w:rsidRPr="00720DFB">
        <w:rPr>
          <w:b/>
        </w:rPr>
        <w:t>2019</w:t>
      </w:r>
      <w:r w:rsidR="00FF380F" w:rsidRPr="00720DFB">
        <w:t xml:space="preserve">, </w:t>
      </w:r>
      <w:r w:rsidR="00FF380F" w:rsidRPr="00CE3638">
        <w:rPr>
          <w:i/>
          <w:iCs/>
        </w:rPr>
        <w:t>2</w:t>
      </w:r>
      <w:r>
        <w:t>, 77</w:t>
      </w:r>
      <w:r w:rsidR="00FF380F" w:rsidRPr="00720DFB">
        <w:t>.</w:t>
      </w:r>
    </w:p>
    <w:p w14:paraId="67E4B350" w14:textId="465BDA23" w:rsidR="00FF380F" w:rsidRPr="00720DFB" w:rsidRDefault="00CE3638" w:rsidP="00FF380F">
      <w:pPr>
        <w:pStyle w:val="EndNoteBibliography"/>
        <w:spacing w:after="0"/>
        <w:jc w:val="both"/>
      </w:pPr>
      <w:r>
        <w:t>(</w:t>
      </w:r>
      <w:r w:rsidR="00FF380F" w:rsidRPr="00720DFB">
        <w:t>10</w:t>
      </w:r>
      <w:r>
        <w:t xml:space="preserve">) </w:t>
      </w:r>
      <w:r w:rsidR="00FF380F" w:rsidRPr="00720DFB">
        <w:t xml:space="preserve">Geldenhuys, W. J.; Yonutas, H. M.; Morris, D. L.; Sullivan, P. G.; Darvesh, A. S.; Leeper, T. C., Identification of </w:t>
      </w:r>
      <w:r>
        <w:t>S</w:t>
      </w:r>
      <w:r w:rsidR="00FF380F" w:rsidRPr="00720DFB">
        <w:t xml:space="preserve">mall </w:t>
      </w:r>
      <w:r>
        <w:t>M</w:t>
      </w:r>
      <w:r w:rsidR="00FF380F" w:rsidRPr="00720DFB">
        <w:t xml:space="preserve">olecules that </w:t>
      </w:r>
      <w:r>
        <w:t>B</w:t>
      </w:r>
      <w:r w:rsidR="00FF380F" w:rsidRPr="00720DFB">
        <w:t xml:space="preserve">ind to the </w:t>
      </w:r>
      <w:r>
        <w:t>M</w:t>
      </w:r>
      <w:r w:rsidR="00FF380F" w:rsidRPr="00720DFB">
        <w:t xml:space="preserve">itochondrial </w:t>
      </w:r>
      <w:r>
        <w:t>P</w:t>
      </w:r>
      <w:r w:rsidR="00FF380F" w:rsidRPr="00720DFB">
        <w:t xml:space="preserve">rotein </w:t>
      </w:r>
      <w:r>
        <w:t>M</w:t>
      </w:r>
      <w:r w:rsidR="00FF380F" w:rsidRPr="00720DFB">
        <w:t xml:space="preserve">itoNEET. </w:t>
      </w:r>
      <w:r w:rsidR="00FF380F" w:rsidRPr="00720DFB">
        <w:rPr>
          <w:i/>
        </w:rPr>
        <w:t>Bioorg</w:t>
      </w:r>
      <w:r>
        <w:rPr>
          <w:i/>
        </w:rPr>
        <w:t>.</w:t>
      </w:r>
      <w:r w:rsidR="00FF380F" w:rsidRPr="00720DFB">
        <w:rPr>
          <w:i/>
        </w:rPr>
        <w:t xml:space="preserve"> Med</w:t>
      </w:r>
      <w:r>
        <w:rPr>
          <w:i/>
        </w:rPr>
        <w:t>.</w:t>
      </w:r>
      <w:r w:rsidR="00FF380F" w:rsidRPr="00720DFB">
        <w:rPr>
          <w:i/>
        </w:rPr>
        <w:t xml:space="preserve"> Chem</w:t>
      </w:r>
      <w:r>
        <w:rPr>
          <w:i/>
        </w:rPr>
        <w:t>.</w:t>
      </w:r>
      <w:r w:rsidR="00FF380F" w:rsidRPr="00720DFB">
        <w:rPr>
          <w:i/>
        </w:rPr>
        <w:t xml:space="preserve"> Lett</w:t>
      </w:r>
      <w:r>
        <w:rPr>
          <w:i/>
        </w:rPr>
        <w:t>.</w:t>
      </w:r>
      <w:r w:rsidR="00FF380F" w:rsidRPr="00720DFB">
        <w:rPr>
          <w:i/>
        </w:rPr>
        <w:t xml:space="preserve"> </w:t>
      </w:r>
      <w:r w:rsidR="00FF380F" w:rsidRPr="00720DFB">
        <w:rPr>
          <w:b/>
        </w:rPr>
        <w:t>2016</w:t>
      </w:r>
      <w:r w:rsidR="00FF380F" w:rsidRPr="00720DFB">
        <w:t xml:space="preserve">, </w:t>
      </w:r>
      <w:r w:rsidR="00FF380F" w:rsidRPr="00CE3638">
        <w:rPr>
          <w:i/>
          <w:iCs/>
        </w:rPr>
        <w:t>26</w:t>
      </w:r>
      <w:r w:rsidR="00FF380F" w:rsidRPr="00720DFB">
        <w:t>, 5350-5353.</w:t>
      </w:r>
    </w:p>
    <w:p w14:paraId="4BBFE58B" w14:textId="31CB58C0" w:rsidR="00FF380F" w:rsidRPr="00720DFB" w:rsidRDefault="00CE3638" w:rsidP="00FF380F">
      <w:pPr>
        <w:pStyle w:val="EndNoteBibliography"/>
        <w:spacing w:after="0"/>
        <w:jc w:val="both"/>
      </w:pPr>
      <w:r>
        <w:t>(</w:t>
      </w:r>
      <w:r w:rsidR="00FF380F" w:rsidRPr="00720DFB">
        <w:t>11</w:t>
      </w:r>
      <w:r>
        <w:t xml:space="preserve">) </w:t>
      </w:r>
      <w:r w:rsidR="00FF380F" w:rsidRPr="00720DFB">
        <w:t>Marjault, H. B. K</w:t>
      </w:r>
      <w:r>
        <w:t>armi</w:t>
      </w:r>
      <w:r w:rsidR="00FF380F" w:rsidRPr="00720DFB">
        <w:t xml:space="preserve">, O.; Zuo, K.; Michaeli, D.; Eisenberg-Domovich, Y.; Rossetti, G.; de Chassey, B.; Vonderscher, J.; Cabantchik, I.; Carloni, P.; Mittler, R.; Livnah, O.; Meldrum, E.; Nechushtai, R., An </w:t>
      </w:r>
      <w:r>
        <w:t>A</w:t>
      </w:r>
      <w:r w:rsidR="00FF380F" w:rsidRPr="00720DFB">
        <w:t xml:space="preserve">nti-diabetic </w:t>
      </w:r>
      <w:r>
        <w:t>D</w:t>
      </w:r>
      <w:r w:rsidR="00FF380F" w:rsidRPr="00720DFB">
        <w:t xml:space="preserve">rug </w:t>
      </w:r>
      <w:r>
        <w:t>T</w:t>
      </w:r>
      <w:r w:rsidR="00FF380F" w:rsidRPr="00720DFB">
        <w:t xml:space="preserve">argets NEET (CISD) </w:t>
      </w:r>
      <w:r>
        <w:t>P</w:t>
      </w:r>
      <w:r w:rsidR="00FF380F" w:rsidRPr="00720DFB">
        <w:t xml:space="preserve">roteins </w:t>
      </w:r>
      <w:r>
        <w:t>T</w:t>
      </w:r>
      <w:r w:rsidR="00FF380F" w:rsidRPr="00720DFB">
        <w:t xml:space="preserve">hrough </w:t>
      </w:r>
      <w:r>
        <w:t>D</w:t>
      </w:r>
      <w:r w:rsidR="00FF380F" w:rsidRPr="00720DFB">
        <w:t xml:space="preserve">estabilization of </w:t>
      </w:r>
      <w:r>
        <w:t>T</w:t>
      </w:r>
      <w:r w:rsidR="00FF380F" w:rsidRPr="00720DFB">
        <w:t xml:space="preserve">heir [2Fe-2S] </w:t>
      </w:r>
      <w:r>
        <w:t>C</w:t>
      </w:r>
      <w:r w:rsidR="00FF380F" w:rsidRPr="00720DFB">
        <w:t xml:space="preserve">lusters. </w:t>
      </w:r>
      <w:r w:rsidR="00FF380F" w:rsidRPr="00720DFB">
        <w:rPr>
          <w:i/>
        </w:rPr>
        <w:t>Commun</w:t>
      </w:r>
      <w:r>
        <w:rPr>
          <w:i/>
        </w:rPr>
        <w:t>.</w:t>
      </w:r>
      <w:r w:rsidR="00FF380F" w:rsidRPr="00720DFB">
        <w:rPr>
          <w:i/>
        </w:rPr>
        <w:t xml:space="preserve"> Biol</w:t>
      </w:r>
      <w:r>
        <w:rPr>
          <w:i/>
        </w:rPr>
        <w:t>.</w:t>
      </w:r>
      <w:r w:rsidR="00FF380F" w:rsidRPr="00720DFB">
        <w:rPr>
          <w:i/>
        </w:rPr>
        <w:t xml:space="preserve"> </w:t>
      </w:r>
      <w:r w:rsidR="00FF380F" w:rsidRPr="00720DFB">
        <w:rPr>
          <w:b/>
        </w:rPr>
        <w:t>2022</w:t>
      </w:r>
      <w:r w:rsidR="00FF380F" w:rsidRPr="00720DFB">
        <w:t xml:space="preserve">, </w:t>
      </w:r>
      <w:r w:rsidR="00FF380F" w:rsidRPr="00CE3638">
        <w:rPr>
          <w:i/>
          <w:iCs/>
        </w:rPr>
        <w:t>5</w:t>
      </w:r>
      <w:r w:rsidR="00FF380F" w:rsidRPr="00720DFB">
        <w:t>, 1-9.</w:t>
      </w:r>
    </w:p>
    <w:p w14:paraId="1BD5EB67" w14:textId="702372B2" w:rsidR="00FF380F" w:rsidRPr="00720DFB" w:rsidRDefault="00CE3638" w:rsidP="00FF380F">
      <w:pPr>
        <w:pStyle w:val="EndNoteBibliography"/>
        <w:spacing w:after="0"/>
        <w:jc w:val="both"/>
      </w:pPr>
      <w:r>
        <w:t>(</w:t>
      </w:r>
      <w:r w:rsidR="00FF380F" w:rsidRPr="00720DFB">
        <w:t>12</w:t>
      </w:r>
      <w:r>
        <w:t xml:space="preserve">) </w:t>
      </w:r>
      <w:r w:rsidR="00FF380F" w:rsidRPr="00720DFB">
        <w:t xml:space="preserve">Hoang, L. G.; Gossen, J.; Capelli, R.; Nguyen, T. T.; Sun, Z.; Zuo, K.; Schulz, J. B.; Rossetti, G.; Carloni, P., Multiple Poses and Thermodynamics of Ligands Targeting Protein Surfaces: The Case of Furosemide Binding to </w:t>
      </w:r>
      <w:r>
        <w:t>M</w:t>
      </w:r>
      <w:r w:rsidR="00FF380F" w:rsidRPr="00720DFB">
        <w:t xml:space="preserve">itoNEET in Aqueous Solution. </w:t>
      </w:r>
      <w:r w:rsidR="00FF380F" w:rsidRPr="00720DFB">
        <w:rPr>
          <w:i/>
        </w:rPr>
        <w:t>Front</w:t>
      </w:r>
      <w:r>
        <w:rPr>
          <w:i/>
        </w:rPr>
        <w:t>.</w:t>
      </w:r>
      <w:r w:rsidR="00FF380F" w:rsidRPr="00720DFB">
        <w:rPr>
          <w:i/>
        </w:rPr>
        <w:t xml:space="preserve"> Cell</w:t>
      </w:r>
      <w:r>
        <w:rPr>
          <w:i/>
        </w:rPr>
        <w:t>.</w:t>
      </w:r>
      <w:r w:rsidR="00FF380F" w:rsidRPr="00720DFB">
        <w:rPr>
          <w:i/>
        </w:rPr>
        <w:t xml:space="preserve"> Dev</w:t>
      </w:r>
      <w:r>
        <w:rPr>
          <w:i/>
        </w:rPr>
        <w:t>.</w:t>
      </w:r>
      <w:r w:rsidR="00FF380F" w:rsidRPr="00720DFB">
        <w:rPr>
          <w:i/>
        </w:rPr>
        <w:t xml:space="preserve"> Biol</w:t>
      </w:r>
      <w:r>
        <w:rPr>
          <w:i/>
        </w:rPr>
        <w:t>.</w:t>
      </w:r>
      <w:r w:rsidR="00FF380F" w:rsidRPr="00720DFB">
        <w:rPr>
          <w:i/>
        </w:rPr>
        <w:t xml:space="preserve"> </w:t>
      </w:r>
      <w:r w:rsidR="00FF380F" w:rsidRPr="00720DFB">
        <w:rPr>
          <w:b/>
        </w:rPr>
        <w:t>2022</w:t>
      </w:r>
      <w:r w:rsidR="00FF380F" w:rsidRPr="00720DFB">
        <w:t xml:space="preserve">, </w:t>
      </w:r>
      <w:r w:rsidR="00FF380F" w:rsidRPr="00CE3638">
        <w:rPr>
          <w:i/>
          <w:iCs/>
        </w:rPr>
        <w:t>10</w:t>
      </w:r>
      <w:r w:rsidR="00FF380F" w:rsidRPr="00720DFB">
        <w:t>, 886568.</w:t>
      </w:r>
    </w:p>
    <w:p w14:paraId="78B48317" w14:textId="77787E49" w:rsidR="00FF380F" w:rsidRPr="00720DFB" w:rsidRDefault="00CE3638" w:rsidP="00FF380F">
      <w:pPr>
        <w:pStyle w:val="EndNoteBibliography"/>
        <w:spacing w:after="0"/>
        <w:jc w:val="both"/>
      </w:pPr>
      <w:r>
        <w:t>(</w:t>
      </w:r>
      <w:r w:rsidR="00FF380F" w:rsidRPr="00720DFB">
        <w:t>13</w:t>
      </w:r>
      <w:r>
        <w:t xml:space="preserve">) </w:t>
      </w:r>
      <w:r w:rsidR="00FF380F" w:rsidRPr="00720DFB">
        <w:t xml:space="preserve">Lucas, X.; Bauza, A.; Frontera, A.; Quinonero, D., A </w:t>
      </w:r>
      <w:r>
        <w:t>T</w:t>
      </w:r>
      <w:r w:rsidR="00FF380F" w:rsidRPr="00720DFB">
        <w:t xml:space="preserve">horough </w:t>
      </w:r>
      <w:r>
        <w:t>A</w:t>
      </w:r>
      <w:r w:rsidR="00FF380F" w:rsidRPr="00720DFB">
        <w:t>nion-</w:t>
      </w:r>
      <w:r>
        <w:t>π</w:t>
      </w:r>
      <w:r w:rsidR="00FF380F" w:rsidRPr="00720DFB">
        <w:t xml:space="preserve"> </w:t>
      </w:r>
      <w:r>
        <w:t>I</w:t>
      </w:r>
      <w:r w:rsidR="00FF380F" w:rsidRPr="00720DFB">
        <w:t xml:space="preserve">nteraction </w:t>
      </w:r>
      <w:r>
        <w:t>S</w:t>
      </w:r>
      <w:r w:rsidR="00FF380F" w:rsidRPr="00720DFB">
        <w:t xml:space="preserve">tudy in </w:t>
      </w:r>
      <w:r>
        <w:t>B</w:t>
      </w:r>
      <w:r w:rsidR="00FF380F" w:rsidRPr="00720DFB">
        <w:t xml:space="preserve">iomolecules: </w:t>
      </w:r>
      <w:r>
        <w:t>O</w:t>
      </w:r>
      <w:r w:rsidR="00FF380F" w:rsidRPr="00720DFB">
        <w:t xml:space="preserve">n the </w:t>
      </w:r>
      <w:r>
        <w:t>I</w:t>
      </w:r>
      <w:r w:rsidR="00FF380F" w:rsidRPr="00720DFB">
        <w:t xml:space="preserve">mportance of </w:t>
      </w:r>
      <w:r>
        <w:t>C</w:t>
      </w:r>
      <w:r w:rsidR="00FF380F" w:rsidRPr="00720DFB">
        <w:t xml:space="preserve">ooperativity </w:t>
      </w:r>
      <w:r>
        <w:t>E</w:t>
      </w:r>
      <w:r w:rsidR="00FF380F" w:rsidRPr="00720DFB">
        <w:t xml:space="preserve">ffects. </w:t>
      </w:r>
      <w:r w:rsidR="00FF380F" w:rsidRPr="00720DFB">
        <w:rPr>
          <w:i/>
        </w:rPr>
        <w:t>Chem</w:t>
      </w:r>
      <w:r>
        <w:rPr>
          <w:i/>
        </w:rPr>
        <w:t>.</w:t>
      </w:r>
      <w:r w:rsidR="00FF380F" w:rsidRPr="00720DFB">
        <w:rPr>
          <w:i/>
        </w:rPr>
        <w:t xml:space="preserve"> Sci</w:t>
      </w:r>
      <w:r>
        <w:rPr>
          <w:i/>
        </w:rPr>
        <w:t>.</w:t>
      </w:r>
      <w:r w:rsidR="00FF380F" w:rsidRPr="00720DFB">
        <w:rPr>
          <w:i/>
        </w:rPr>
        <w:t xml:space="preserve"> </w:t>
      </w:r>
      <w:r w:rsidR="00FF380F" w:rsidRPr="00720DFB">
        <w:rPr>
          <w:b/>
        </w:rPr>
        <w:t>2016</w:t>
      </w:r>
      <w:r w:rsidR="00FF380F" w:rsidRPr="00720DFB">
        <w:t xml:space="preserve">, </w:t>
      </w:r>
      <w:r w:rsidR="00FF380F" w:rsidRPr="00CE3638">
        <w:rPr>
          <w:i/>
          <w:iCs/>
        </w:rPr>
        <w:t>7</w:t>
      </w:r>
      <w:r w:rsidR="00FF380F" w:rsidRPr="00720DFB">
        <w:t>, 1038-1050.</w:t>
      </w:r>
    </w:p>
    <w:p w14:paraId="4015FDCB" w14:textId="562AAFAE" w:rsidR="00FF380F" w:rsidRPr="00720DFB" w:rsidRDefault="00CE3638" w:rsidP="00FF380F">
      <w:pPr>
        <w:pStyle w:val="EndNoteBibliography"/>
        <w:spacing w:after="0"/>
        <w:jc w:val="both"/>
      </w:pPr>
      <w:r>
        <w:t>(</w:t>
      </w:r>
      <w:r w:rsidR="00FF380F" w:rsidRPr="00720DFB">
        <w:t>14</w:t>
      </w:r>
      <w:r>
        <w:t xml:space="preserve">) </w:t>
      </w:r>
      <w:r w:rsidR="00FF380F" w:rsidRPr="00720DFB">
        <w:t>Infield, D. T.; Rasouli, A.; Galles, G. D.; Chipot, C.; Tajkhorshid, E.; Ahern, C. A., Cation-</w:t>
      </w:r>
      <w:r>
        <w:t>π</w:t>
      </w:r>
      <w:r w:rsidR="00FF380F" w:rsidRPr="00720DFB">
        <w:t xml:space="preserve"> Interactions and </w:t>
      </w:r>
      <w:r>
        <w:t>T</w:t>
      </w:r>
      <w:r w:rsidR="00FF380F" w:rsidRPr="00720DFB">
        <w:t xml:space="preserve">heir Functional Roles in Membrane Proteins. </w:t>
      </w:r>
      <w:r w:rsidR="00FF380F" w:rsidRPr="00720DFB">
        <w:rPr>
          <w:i/>
        </w:rPr>
        <w:t>J</w:t>
      </w:r>
      <w:r>
        <w:rPr>
          <w:i/>
        </w:rPr>
        <w:t>.</w:t>
      </w:r>
      <w:r w:rsidR="00FF380F" w:rsidRPr="00720DFB">
        <w:rPr>
          <w:i/>
        </w:rPr>
        <w:t xml:space="preserve"> Mol</w:t>
      </w:r>
      <w:r>
        <w:rPr>
          <w:i/>
        </w:rPr>
        <w:t>.</w:t>
      </w:r>
      <w:r w:rsidR="00FF380F" w:rsidRPr="00720DFB">
        <w:rPr>
          <w:i/>
        </w:rPr>
        <w:t xml:space="preserve"> Biol</w:t>
      </w:r>
      <w:r>
        <w:rPr>
          <w:i/>
        </w:rPr>
        <w:t>.</w:t>
      </w:r>
      <w:r w:rsidR="00FF380F" w:rsidRPr="00720DFB">
        <w:rPr>
          <w:i/>
        </w:rPr>
        <w:t xml:space="preserve"> </w:t>
      </w:r>
      <w:r w:rsidR="00FF380F" w:rsidRPr="00720DFB">
        <w:rPr>
          <w:b/>
        </w:rPr>
        <w:t>2021</w:t>
      </w:r>
      <w:r w:rsidR="00FF380F" w:rsidRPr="00720DFB">
        <w:t xml:space="preserve">, </w:t>
      </w:r>
      <w:r w:rsidR="00FF380F" w:rsidRPr="00CE3638">
        <w:rPr>
          <w:i/>
          <w:iCs/>
        </w:rPr>
        <w:t>433</w:t>
      </w:r>
      <w:r>
        <w:t>, 167035</w:t>
      </w:r>
      <w:r w:rsidR="00FF380F" w:rsidRPr="00720DFB">
        <w:t>.</w:t>
      </w:r>
    </w:p>
    <w:p w14:paraId="26B63914" w14:textId="6FA5C27C" w:rsidR="00FF380F" w:rsidRPr="00720DFB" w:rsidRDefault="00BF16C0" w:rsidP="00FF380F">
      <w:pPr>
        <w:pStyle w:val="EndNoteBibliography"/>
        <w:spacing w:after="0"/>
        <w:jc w:val="both"/>
      </w:pPr>
      <w:r>
        <w:t>(</w:t>
      </w:r>
      <w:r w:rsidR="00FF380F" w:rsidRPr="00720DFB">
        <w:t>15</w:t>
      </w:r>
      <w:r>
        <w:t xml:space="preserve">) </w:t>
      </w:r>
      <w:r w:rsidR="00FF380F" w:rsidRPr="00720DFB">
        <w:t xml:space="preserve">Capelli, R.; Carloni, P.; Parrinello, M., Exhaustive Search of Ligand Binding Pathways via Volume-Based Metadynamics. </w:t>
      </w:r>
      <w:r w:rsidR="00FF380F" w:rsidRPr="00720DFB">
        <w:rPr>
          <w:i/>
        </w:rPr>
        <w:t>J</w:t>
      </w:r>
      <w:r>
        <w:rPr>
          <w:i/>
        </w:rPr>
        <w:t>.</w:t>
      </w:r>
      <w:r w:rsidR="00FF380F" w:rsidRPr="00720DFB">
        <w:rPr>
          <w:i/>
        </w:rPr>
        <w:t xml:space="preserve"> Phys</w:t>
      </w:r>
      <w:r>
        <w:rPr>
          <w:i/>
        </w:rPr>
        <w:t>.</w:t>
      </w:r>
      <w:r w:rsidR="00FF380F" w:rsidRPr="00720DFB">
        <w:rPr>
          <w:i/>
        </w:rPr>
        <w:t xml:space="preserve"> Chem</w:t>
      </w:r>
      <w:r>
        <w:rPr>
          <w:i/>
        </w:rPr>
        <w:t>.</w:t>
      </w:r>
      <w:r w:rsidR="00FF380F" w:rsidRPr="00720DFB">
        <w:rPr>
          <w:i/>
        </w:rPr>
        <w:t xml:space="preserve"> Lett</w:t>
      </w:r>
      <w:r>
        <w:rPr>
          <w:i/>
        </w:rPr>
        <w:t>.</w:t>
      </w:r>
      <w:r w:rsidR="00FF380F" w:rsidRPr="00720DFB">
        <w:rPr>
          <w:i/>
        </w:rPr>
        <w:t xml:space="preserve"> </w:t>
      </w:r>
      <w:r w:rsidR="00FF380F" w:rsidRPr="00720DFB">
        <w:rPr>
          <w:b/>
        </w:rPr>
        <w:t>2019</w:t>
      </w:r>
      <w:r w:rsidR="00FF380F" w:rsidRPr="00720DFB">
        <w:t xml:space="preserve">, </w:t>
      </w:r>
      <w:r w:rsidR="00FF380F" w:rsidRPr="00BF16C0">
        <w:rPr>
          <w:i/>
          <w:iCs/>
        </w:rPr>
        <w:t>10</w:t>
      </w:r>
      <w:r w:rsidR="00FF380F" w:rsidRPr="00720DFB">
        <w:t>, 3495-3499.</w:t>
      </w:r>
    </w:p>
    <w:p w14:paraId="37B8700F" w14:textId="3DDBC338" w:rsidR="00FF380F" w:rsidRPr="00720DFB" w:rsidRDefault="00BF16C0" w:rsidP="00FF380F">
      <w:pPr>
        <w:pStyle w:val="EndNoteBibliography"/>
        <w:spacing w:after="0"/>
        <w:jc w:val="both"/>
      </w:pPr>
      <w:r>
        <w:t>(</w:t>
      </w:r>
      <w:r w:rsidR="00FF380F" w:rsidRPr="00720DFB">
        <w:t>16</w:t>
      </w:r>
      <w:r>
        <w:t xml:space="preserve">) </w:t>
      </w:r>
      <w:r w:rsidR="00FF380F" w:rsidRPr="00720DFB">
        <w:t xml:space="preserve">Allinger, N. L., Conformational-Analysis .130. Mm2 - Hydrocarbon Force-Field Utilizing V1 and V2 Torsional Terms. </w:t>
      </w:r>
      <w:r w:rsidR="00FF380F" w:rsidRPr="00720DFB">
        <w:rPr>
          <w:i/>
        </w:rPr>
        <w:t>J</w:t>
      </w:r>
      <w:r>
        <w:rPr>
          <w:i/>
        </w:rPr>
        <w:t>.</w:t>
      </w:r>
      <w:r w:rsidR="00FF380F" w:rsidRPr="00720DFB">
        <w:rPr>
          <w:i/>
        </w:rPr>
        <w:t xml:space="preserve"> Am</w:t>
      </w:r>
      <w:r>
        <w:rPr>
          <w:i/>
        </w:rPr>
        <w:t>.</w:t>
      </w:r>
      <w:r w:rsidR="00FF380F" w:rsidRPr="00720DFB">
        <w:rPr>
          <w:i/>
        </w:rPr>
        <w:t xml:space="preserve"> Chem</w:t>
      </w:r>
      <w:r>
        <w:rPr>
          <w:i/>
        </w:rPr>
        <w:t>.</w:t>
      </w:r>
      <w:r w:rsidR="00FF380F" w:rsidRPr="00720DFB">
        <w:rPr>
          <w:i/>
        </w:rPr>
        <w:t xml:space="preserve"> Soc</w:t>
      </w:r>
      <w:r>
        <w:rPr>
          <w:i/>
        </w:rPr>
        <w:t>.</w:t>
      </w:r>
      <w:r w:rsidR="00FF380F" w:rsidRPr="00720DFB">
        <w:rPr>
          <w:i/>
        </w:rPr>
        <w:t xml:space="preserve"> </w:t>
      </w:r>
      <w:r w:rsidR="00FF380F" w:rsidRPr="00720DFB">
        <w:rPr>
          <w:b/>
        </w:rPr>
        <w:t>1977</w:t>
      </w:r>
      <w:r w:rsidR="00FF380F" w:rsidRPr="00720DFB">
        <w:t xml:space="preserve">, </w:t>
      </w:r>
      <w:r w:rsidR="00FF380F" w:rsidRPr="00BF16C0">
        <w:rPr>
          <w:i/>
          <w:iCs/>
        </w:rPr>
        <w:t>99</w:t>
      </w:r>
      <w:r w:rsidR="00FF380F" w:rsidRPr="00720DFB">
        <w:t>, 8127-8134.</w:t>
      </w:r>
    </w:p>
    <w:p w14:paraId="39AFC757" w14:textId="18383D66" w:rsidR="00FF380F" w:rsidRPr="00720DFB" w:rsidRDefault="00BF16C0" w:rsidP="00FF380F">
      <w:pPr>
        <w:pStyle w:val="EndNoteBibliography"/>
        <w:spacing w:after="0"/>
        <w:jc w:val="both"/>
      </w:pPr>
      <w:r>
        <w:t>(</w:t>
      </w:r>
      <w:r w:rsidR="00FF380F" w:rsidRPr="00720DFB">
        <w:t>17</w:t>
      </w:r>
      <w:r>
        <w:t xml:space="preserve">) </w:t>
      </w:r>
      <w:r w:rsidR="00FF380F" w:rsidRPr="00720DFB">
        <w:t xml:space="preserve">Petersson, G. A.; Bennett, A.; Tensfeldt, T. G.; Allaham, M. A.; Shirley, W. A.; Mantzaris, J., A Complete Basis Set Model Chemistry .1. The Total Energies of Closed-Shell Atoms and Hydrides of the 1st-Row Elements. </w:t>
      </w:r>
      <w:r w:rsidR="00FF380F" w:rsidRPr="00720DFB">
        <w:rPr>
          <w:i/>
        </w:rPr>
        <w:t>J</w:t>
      </w:r>
      <w:r>
        <w:rPr>
          <w:i/>
        </w:rPr>
        <w:t>.</w:t>
      </w:r>
      <w:r w:rsidR="00FF380F" w:rsidRPr="00720DFB">
        <w:rPr>
          <w:i/>
        </w:rPr>
        <w:t xml:space="preserve"> Chem</w:t>
      </w:r>
      <w:r>
        <w:rPr>
          <w:i/>
        </w:rPr>
        <w:t>.</w:t>
      </w:r>
      <w:r w:rsidR="00FF380F" w:rsidRPr="00720DFB">
        <w:rPr>
          <w:i/>
        </w:rPr>
        <w:t xml:space="preserve"> Phys</w:t>
      </w:r>
      <w:r>
        <w:rPr>
          <w:i/>
        </w:rPr>
        <w:t>.</w:t>
      </w:r>
      <w:r w:rsidR="00FF380F" w:rsidRPr="00720DFB">
        <w:rPr>
          <w:i/>
        </w:rPr>
        <w:t xml:space="preserve"> </w:t>
      </w:r>
      <w:r w:rsidR="00FF380F" w:rsidRPr="00720DFB">
        <w:rPr>
          <w:b/>
        </w:rPr>
        <w:t>1988</w:t>
      </w:r>
      <w:r w:rsidR="00FF380F" w:rsidRPr="00720DFB">
        <w:t xml:space="preserve">, </w:t>
      </w:r>
      <w:r w:rsidR="00FF380F" w:rsidRPr="00BF16C0">
        <w:rPr>
          <w:i/>
          <w:iCs/>
        </w:rPr>
        <w:t>89</w:t>
      </w:r>
      <w:r w:rsidR="00FF380F" w:rsidRPr="00720DFB">
        <w:t>, 2193-2218.</w:t>
      </w:r>
    </w:p>
    <w:p w14:paraId="277F30EB" w14:textId="5163C407" w:rsidR="00FF380F" w:rsidRPr="00720DFB" w:rsidRDefault="00BF16C0" w:rsidP="00FF380F">
      <w:pPr>
        <w:pStyle w:val="EndNoteBibliography"/>
        <w:spacing w:after="0"/>
        <w:jc w:val="both"/>
      </w:pPr>
      <w:r>
        <w:t>(</w:t>
      </w:r>
      <w:r w:rsidR="00FF380F" w:rsidRPr="00720DFB">
        <w:t>18</w:t>
      </w:r>
      <w:r>
        <w:t xml:space="preserve">) </w:t>
      </w:r>
      <w:r w:rsidR="00FF380F" w:rsidRPr="00720DFB">
        <w:t xml:space="preserve">Petersson, G. A.; Allaham, M. A., A Complete Basis Set Model Chemistry .2. Open-Shell Systems and the Total Energies of the 1st-Row Atoms. </w:t>
      </w:r>
      <w:r w:rsidR="00FF380F" w:rsidRPr="00720DFB">
        <w:rPr>
          <w:i/>
        </w:rPr>
        <w:t>J</w:t>
      </w:r>
      <w:r>
        <w:rPr>
          <w:i/>
        </w:rPr>
        <w:t>.</w:t>
      </w:r>
      <w:r w:rsidR="00FF380F" w:rsidRPr="00720DFB">
        <w:rPr>
          <w:i/>
        </w:rPr>
        <w:t xml:space="preserve"> Chem</w:t>
      </w:r>
      <w:r>
        <w:rPr>
          <w:i/>
        </w:rPr>
        <w:t>.</w:t>
      </w:r>
      <w:r w:rsidR="00FF380F" w:rsidRPr="00720DFB">
        <w:rPr>
          <w:i/>
        </w:rPr>
        <w:t xml:space="preserve"> Phys</w:t>
      </w:r>
      <w:r>
        <w:rPr>
          <w:i/>
        </w:rPr>
        <w:t>.</w:t>
      </w:r>
      <w:r w:rsidR="00FF380F" w:rsidRPr="00720DFB">
        <w:rPr>
          <w:i/>
        </w:rPr>
        <w:t xml:space="preserve"> </w:t>
      </w:r>
      <w:r w:rsidR="00FF380F" w:rsidRPr="00720DFB">
        <w:rPr>
          <w:b/>
        </w:rPr>
        <w:t>1991</w:t>
      </w:r>
      <w:r w:rsidR="00FF380F" w:rsidRPr="00720DFB">
        <w:t xml:space="preserve">, </w:t>
      </w:r>
      <w:r w:rsidR="00FF380F" w:rsidRPr="00BF16C0">
        <w:rPr>
          <w:i/>
          <w:iCs/>
        </w:rPr>
        <w:t>94</w:t>
      </w:r>
      <w:r w:rsidR="00FF380F" w:rsidRPr="00720DFB">
        <w:t>, 6081-6090.</w:t>
      </w:r>
    </w:p>
    <w:p w14:paraId="558478D1" w14:textId="5BC5120F" w:rsidR="00FF380F" w:rsidRPr="00720DFB" w:rsidRDefault="00BF16C0" w:rsidP="00FF380F">
      <w:pPr>
        <w:pStyle w:val="EndNoteBibliography"/>
        <w:spacing w:after="0"/>
        <w:jc w:val="both"/>
      </w:pPr>
      <w:r>
        <w:lastRenderedPageBreak/>
        <w:t>(</w:t>
      </w:r>
      <w:r w:rsidR="00FF380F" w:rsidRPr="00720DFB">
        <w:t>19</w:t>
      </w:r>
      <w:r>
        <w:t xml:space="preserve">) </w:t>
      </w:r>
      <w:r w:rsidR="00FF380F" w:rsidRPr="00720DFB">
        <w:t xml:space="preserve">Frisch, M. J.; Trucks, G. W.; Schlegel, H. B.; Scuseria, G. E.; Robb, M. A.; Cheeseman, J. R.; Scalmani, G.; Barone, V.; Mennucci, B.; Petersson, G. A.; Nakatsuji, H.; Caricato, M.; Li, X.; Hratchian, H. P.; Izmaylov, A. F.; Bloino, J.; Zheng, G.; Sonnenberg, J. L.; Hada, M.; Ehara, M.; Toyota, K.; Fukuda, R.; Hasegawa, J.; Ishida, M.; Nakajima, T.; Honda, Y.; Kitao, O.; Nakai, H.; Vreven, T.; Montgomery Jr., J. A.; Peralta, J. E.; Ogliaro, F.; Bearpark, M.; Heyd, J. J.; Brothers, E.; Kudin, K. N.; Staroverov, V. N.; Kobayashi, R.; Normand, J.; Raghavachari, K.; Rendell, A.; Burant, J. C.; Iyengar, S. S.; Tomasi, J.; Cossi, M.; Rega, N.; Millam, J. M.; Klene, M.; Knox, J. E.; Cross, J. B.; Bakken, V.; Adamo, C.; Jaramillo, J.; Gomperts, R.; Stratmann, R. E.; Yazyev, O.; Austin, A. J.; Cammi, R.; Pomelli, C.; Ochterski, J. W.; Martin, R. L.; Morokuma, K.; Zakrzewski, V. G.; Voth, G. A.; Salvador, P.; Dannenberg, J. J.; Dapprich, S.; Daniels, A. D.; Farkas, O.; Foresman, J. B.; Ortiz, J. V.; Cioslowski, J.; Fox, D. J., Gaussian 09 Rev. A.02. </w:t>
      </w:r>
      <w:r w:rsidR="00FF380F" w:rsidRPr="00720DFB">
        <w:rPr>
          <w:i/>
        </w:rPr>
        <w:t xml:space="preserve">Wallingford, CT </w:t>
      </w:r>
      <w:r w:rsidR="00FF380F" w:rsidRPr="00720DFB">
        <w:rPr>
          <w:b/>
        </w:rPr>
        <w:t>2009</w:t>
      </w:r>
      <w:r w:rsidR="00FF380F" w:rsidRPr="00720DFB">
        <w:t>.</w:t>
      </w:r>
    </w:p>
    <w:p w14:paraId="561BD4C6" w14:textId="200E7FF6" w:rsidR="00FF380F" w:rsidRPr="00720DFB" w:rsidRDefault="00BF16C0" w:rsidP="00FF380F">
      <w:pPr>
        <w:pStyle w:val="EndNoteBibliography"/>
        <w:spacing w:after="0"/>
        <w:jc w:val="both"/>
      </w:pPr>
      <w:r>
        <w:t>(</w:t>
      </w:r>
      <w:r w:rsidR="00FF380F" w:rsidRPr="00720DFB">
        <w:t>20</w:t>
      </w:r>
      <w:r>
        <w:t xml:space="preserve">) </w:t>
      </w:r>
      <w:r w:rsidR="00FF380F" w:rsidRPr="00720DFB">
        <w:t xml:space="preserve">Jorgensen, W. L.; Maxwell, D. S.; TiradoRives, J., Development and </w:t>
      </w:r>
      <w:r>
        <w:t>T</w:t>
      </w:r>
      <w:r w:rsidR="00FF380F" w:rsidRPr="00720DFB">
        <w:t xml:space="preserve">esting of the OPLS </w:t>
      </w:r>
      <w:r>
        <w:t>A</w:t>
      </w:r>
      <w:r w:rsidR="00FF380F" w:rsidRPr="00720DFB">
        <w:t>ll-</w:t>
      </w:r>
      <w:r>
        <w:t>A</w:t>
      </w:r>
      <w:r w:rsidR="00FF380F" w:rsidRPr="00720DFB">
        <w:t xml:space="preserve">tom </w:t>
      </w:r>
      <w:r>
        <w:t>F</w:t>
      </w:r>
      <w:r w:rsidR="00FF380F" w:rsidRPr="00720DFB">
        <w:t xml:space="preserve">orce </w:t>
      </w:r>
      <w:r>
        <w:t>F</w:t>
      </w:r>
      <w:r w:rsidR="00FF380F" w:rsidRPr="00720DFB">
        <w:t xml:space="preserve">ield on </w:t>
      </w:r>
      <w:r>
        <w:t>C</w:t>
      </w:r>
      <w:r w:rsidR="00FF380F" w:rsidRPr="00720DFB">
        <w:t xml:space="preserve">onformational </w:t>
      </w:r>
      <w:r>
        <w:t>E</w:t>
      </w:r>
      <w:r w:rsidR="00FF380F" w:rsidRPr="00720DFB">
        <w:t xml:space="preserve">nergetics and </w:t>
      </w:r>
      <w:r>
        <w:t>P</w:t>
      </w:r>
      <w:r w:rsidR="00FF380F" w:rsidRPr="00720DFB">
        <w:t xml:space="preserve">roperties of </w:t>
      </w:r>
      <w:r>
        <w:t>O</w:t>
      </w:r>
      <w:r w:rsidR="00FF380F" w:rsidRPr="00720DFB">
        <w:t xml:space="preserve">rganic </w:t>
      </w:r>
      <w:r>
        <w:t>L</w:t>
      </w:r>
      <w:r w:rsidR="00FF380F" w:rsidRPr="00720DFB">
        <w:t xml:space="preserve">iquids. </w:t>
      </w:r>
      <w:r w:rsidR="00FF380F" w:rsidRPr="00720DFB">
        <w:rPr>
          <w:i/>
        </w:rPr>
        <w:t>J</w:t>
      </w:r>
      <w:r>
        <w:rPr>
          <w:i/>
        </w:rPr>
        <w:t>.</w:t>
      </w:r>
      <w:r w:rsidR="00FF380F" w:rsidRPr="00720DFB">
        <w:rPr>
          <w:i/>
        </w:rPr>
        <w:t xml:space="preserve"> Am</w:t>
      </w:r>
      <w:r>
        <w:rPr>
          <w:i/>
        </w:rPr>
        <w:t>.</w:t>
      </w:r>
      <w:r w:rsidR="00FF380F" w:rsidRPr="00720DFB">
        <w:rPr>
          <w:i/>
        </w:rPr>
        <w:t xml:space="preserve"> Chem</w:t>
      </w:r>
      <w:r>
        <w:rPr>
          <w:i/>
        </w:rPr>
        <w:t>.</w:t>
      </w:r>
      <w:r w:rsidR="00FF380F" w:rsidRPr="00720DFB">
        <w:rPr>
          <w:i/>
        </w:rPr>
        <w:t xml:space="preserve"> Soc</w:t>
      </w:r>
      <w:r>
        <w:rPr>
          <w:i/>
        </w:rPr>
        <w:t>.</w:t>
      </w:r>
      <w:r w:rsidR="00FF380F" w:rsidRPr="00720DFB">
        <w:rPr>
          <w:i/>
        </w:rPr>
        <w:t xml:space="preserve"> </w:t>
      </w:r>
      <w:r w:rsidR="00FF380F" w:rsidRPr="00720DFB">
        <w:rPr>
          <w:b/>
        </w:rPr>
        <w:t>1996</w:t>
      </w:r>
      <w:r w:rsidR="00FF380F" w:rsidRPr="00720DFB">
        <w:t xml:space="preserve">, </w:t>
      </w:r>
      <w:r w:rsidR="00FF380F" w:rsidRPr="00BF16C0">
        <w:rPr>
          <w:i/>
          <w:iCs/>
        </w:rPr>
        <w:t>118</w:t>
      </w:r>
      <w:r w:rsidR="00FF380F" w:rsidRPr="00720DFB">
        <w:t>, 11225-11236.</w:t>
      </w:r>
    </w:p>
    <w:p w14:paraId="04BE8A86" w14:textId="6A10AC77" w:rsidR="00FF380F" w:rsidRPr="00720DFB" w:rsidRDefault="00BF16C0" w:rsidP="00FF380F">
      <w:pPr>
        <w:pStyle w:val="EndNoteBibliography"/>
        <w:spacing w:after="0"/>
        <w:jc w:val="both"/>
      </w:pPr>
      <w:r>
        <w:t>(</w:t>
      </w:r>
      <w:r w:rsidR="00FF380F" w:rsidRPr="00720DFB">
        <w:t>21</w:t>
      </w:r>
      <w:r>
        <w:t xml:space="preserve">) </w:t>
      </w:r>
      <w:r w:rsidR="00FF380F" w:rsidRPr="00720DFB">
        <w:t xml:space="preserve">Harder, E.; Damm, W.; Maple, J.; Wu, C. J.; Reboul, M.; Xiang, J. Y.; Wang, L. L.; Lupyan, D.; Dahlgren, M. K.; Knight, J. L.; Kaus, J. W.; Cerutti, D. S.; Krilov, G.; Jorgensen, W. L.; Abel, R.; Friesner, R. A., OPLS3: A Force Field Providing Broad Coverage of Drug-like Small Molecules and Proteins. </w:t>
      </w:r>
      <w:r w:rsidR="00FF380F" w:rsidRPr="00720DFB">
        <w:rPr>
          <w:i/>
        </w:rPr>
        <w:t>J</w:t>
      </w:r>
      <w:r>
        <w:rPr>
          <w:i/>
        </w:rPr>
        <w:t>.</w:t>
      </w:r>
      <w:r w:rsidR="00FF380F" w:rsidRPr="00720DFB">
        <w:rPr>
          <w:i/>
        </w:rPr>
        <w:t xml:space="preserve"> Chem</w:t>
      </w:r>
      <w:r>
        <w:rPr>
          <w:i/>
        </w:rPr>
        <w:t>.</w:t>
      </w:r>
      <w:r w:rsidR="00FF380F" w:rsidRPr="00720DFB">
        <w:rPr>
          <w:i/>
        </w:rPr>
        <w:t xml:space="preserve"> Theory Comput</w:t>
      </w:r>
      <w:r>
        <w:rPr>
          <w:i/>
        </w:rPr>
        <w:t>.</w:t>
      </w:r>
      <w:r w:rsidR="00FF380F" w:rsidRPr="00720DFB">
        <w:rPr>
          <w:i/>
        </w:rPr>
        <w:t xml:space="preserve"> </w:t>
      </w:r>
      <w:r w:rsidR="00FF380F" w:rsidRPr="00720DFB">
        <w:rPr>
          <w:b/>
        </w:rPr>
        <w:t>2016</w:t>
      </w:r>
      <w:r w:rsidR="00FF380F" w:rsidRPr="00720DFB">
        <w:t xml:space="preserve">, </w:t>
      </w:r>
      <w:r w:rsidR="00FF380F" w:rsidRPr="00BF16C0">
        <w:rPr>
          <w:i/>
          <w:iCs/>
        </w:rPr>
        <w:t>12</w:t>
      </w:r>
      <w:r w:rsidR="00FF380F" w:rsidRPr="00720DFB">
        <w:t>, 281-296.</w:t>
      </w:r>
    </w:p>
    <w:p w14:paraId="1CD4DAF3" w14:textId="23339C38" w:rsidR="00FF380F" w:rsidRPr="00720DFB" w:rsidRDefault="00BF16C0" w:rsidP="00FF380F">
      <w:pPr>
        <w:pStyle w:val="EndNoteBibliography"/>
        <w:spacing w:after="0"/>
        <w:jc w:val="both"/>
      </w:pPr>
      <w:r>
        <w:t>(</w:t>
      </w:r>
      <w:r w:rsidR="00FF380F" w:rsidRPr="00720DFB">
        <w:t>22</w:t>
      </w:r>
      <w:r>
        <w:t xml:space="preserve">) </w:t>
      </w:r>
      <w:r w:rsidR="00FF380F" w:rsidRPr="00720DFB">
        <w:t xml:space="preserve">Friesner, R. A.; Banks, J. L.; Murphy, R. B.; Halgren, T. A.; Klicic, J. J.; Mainz, D. T.; Repasky, M. P.; Knoll, E. H.; Shelley, M.; Perry, J. K.; Shaw, D. E.; Francis, P.; Shenkin, P. S., Glide: A </w:t>
      </w:r>
      <w:r>
        <w:t>N</w:t>
      </w:r>
      <w:r w:rsidR="00FF380F" w:rsidRPr="00720DFB">
        <w:t xml:space="preserve">ew </w:t>
      </w:r>
      <w:r>
        <w:t>A</w:t>
      </w:r>
      <w:r w:rsidR="00FF380F" w:rsidRPr="00720DFB">
        <w:t xml:space="preserve">pproach for </w:t>
      </w:r>
      <w:r>
        <w:t>R</w:t>
      </w:r>
      <w:r w:rsidR="00FF380F" w:rsidRPr="00720DFB">
        <w:t xml:space="preserve">apid, </w:t>
      </w:r>
      <w:r>
        <w:t>A</w:t>
      </w:r>
      <w:r w:rsidR="00FF380F" w:rsidRPr="00720DFB">
        <w:t xml:space="preserve">ccurate </w:t>
      </w:r>
      <w:r>
        <w:t>D</w:t>
      </w:r>
      <w:r w:rsidR="00FF380F" w:rsidRPr="00720DFB">
        <w:t xml:space="preserve">ocking and </w:t>
      </w:r>
      <w:r>
        <w:t>S</w:t>
      </w:r>
      <w:r w:rsidR="00FF380F" w:rsidRPr="00720DFB">
        <w:t xml:space="preserve">coring. 1. Method and </w:t>
      </w:r>
      <w:r>
        <w:t>A</w:t>
      </w:r>
      <w:r w:rsidR="00FF380F" w:rsidRPr="00720DFB">
        <w:t xml:space="preserve">ssessment of </w:t>
      </w:r>
      <w:r>
        <w:t>D</w:t>
      </w:r>
      <w:r w:rsidR="00FF380F" w:rsidRPr="00720DFB">
        <w:t xml:space="preserve">ocking </w:t>
      </w:r>
      <w:r>
        <w:t>A</w:t>
      </w:r>
      <w:r w:rsidR="00FF380F" w:rsidRPr="00720DFB">
        <w:t xml:space="preserve">ccuracy. </w:t>
      </w:r>
      <w:r w:rsidR="00FF380F" w:rsidRPr="00720DFB">
        <w:rPr>
          <w:i/>
        </w:rPr>
        <w:t>J</w:t>
      </w:r>
      <w:r>
        <w:rPr>
          <w:i/>
        </w:rPr>
        <w:t>.</w:t>
      </w:r>
      <w:r w:rsidR="00FF380F" w:rsidRPr="00720DFB">
        <w:rPr>
          <w:i/>
        </w:rPr>
        <w:t xml:space="preserve"> Med</w:t>
      </w:r>
      <w:r>
        <w:rPr>
          <w:i/>
        </w:rPr>
        <w:t>.</w:t>
      </w:r>
      <w:r w:rsidR="00FF380F" w:rsidRPr="00720DFB">
        <w:rPr>
          <w:i/>
        </w:rPr>
        <w:t xml:space="preserve"> Chem</w:t>
      </w:r>
      <w:r>
        <w:rPr>
          <w:i/>
        </w:rPr>
        <w:t>.</w:t>
      </w:r>
      <w:r w:rsidR="00FF380F" w:rsidRPr="00720DFB">
        <w:rPr>
          <w:i/>
        </w:rPr>
        <w:t xml:space="preserve"> </w:t>
      </w:r>
      <w:r w:rsidR="00FF380F" w:rsidRPr="00720DFB">
        <w:rPr>
          <w:b/>
        </w:rPr>
        <w:t>2004</w:t>
      </w:r>
      <w:r w:rsidR="00FF380F" w:rsidRPr="00720DFB">
        <w:t xml:space="preserve">, </w:t>
      </w:r>
      <w:r w:rsidR="00FF380F" w:rsidRPr="00BF16C0">
        <w:rPr>
          <w:i/>
          <w:iCs/>
        </w:rPr>
        <w:t>47</w:t>
      </w:r>
      <w:r w:rsidR="00FF380F" w:rsidRPr="00720DFB">
        <w:t>, 1739-1749.</w:t>
      </w:r>
    </w:p>
    <w:p w14:paraId="2CE04C75" w14:textId="41A6D5EE" w:rsidR="00FF380F" w:rsidRPr="00720DFB" w:rsidRDefault="00BF16C0" w:rsidP="00FF380F">
      <w:pPr>
        <w:pStyle w:val="EndNoteBibliography"/>
        <w:spacing w:after="0"/>
        <w:jc w:val="both"/>
      </w:pPr>
      <w:r>
        <w:t>(</w:t>
      </w:r>
      <w:r w:rsidR="00FF380F" w:rsidRPr="00720DFB">
        <w:t>23</w:t>
      </w:r>
      <w:r>
        <w:t xml:space="preserve">) </w:t>
      </w:r>
      <w:r w:rsidR="00FF380F" w:rsidRPr="00720DFB">
        <w:t xml:space="preserve">Halgren, T. A.; Murphy, R. B.; Friesner, R. A.; Beard, H. S.; Frye, L. L.; Pollard, W. T.; Banks, J. L., Glide: A </w:t>
      </w:r>
      <w:r>
        <w:t>N</w:t>
      </w:r>
      <w:r w:rsidR="00FF380F" w:rsidRPr="00720DFB">
        <w:t xml:space="preserve">ew </w:t>
      </w:r>
      <w:r>
        <w:t>A</w:t>
      </w:r>
      <w:r w:rsidR="00FF380F" w:rsidRPr="00720DFB">
        <w:t xml:space="preserve">pproach for </w:t>
      </w:r>
      <w:r>
        <w:t>R</w:t>
      </w:r>
      <w:r w:rsidR="00FF380F" w:rsidRPr="00720DFB">
        <w:t xml:space="preserve">apid, </w:t>
      </w:r>
      <w:r>
        <w:t>A</w:t>
      </w:r>
      <w:r w:rsidR="00FF380F" w:rsidRPr="00720DFB">
        <w:t xml:space="preserve">ccurate </w:t>
      </w:r>
      <w:r>
        <w:t>D</w:t>
      </w:r>
      <w:r w:rsidR="00FF380F" w:rsidRPr="00720DFB">
        <w:t xml:space="preserve">ocking and </w:t>
      </w:r>
      <w:r>
        <w:t>S</w:t>
      </w:r>
      <w:r w:rsidR="00FF380F" w:rsidRPr="00720DFB">
        <w:t xml:space="preserve">coring. 2. Enrichment </w:t>
      </w:r>
      <w:r>
        <w:t>F</w:t>
      </w:r>
      <w:r w:rsidR="00FF380F" w:rsidRPr="00720DFB">
        <w:t xml:space="preserve">actors in </w:t>
      </w:r>
      <w:r>
        <w:t>D</w:t>
      </w:r>
      <w:r w:rsidR="00FF380F" w:rsidRPr="00720DFB">
        <w:t xml:space="preserve">atabase </w:t>
      </w:r>
      <w:r>
        <w:t>S</w:t>
      </w:r>
      <w:r w:rsidR="00FF380F" w:rsidRPr="00720DFB">
        <w:t xml:space="preserve">creening. </w:t>
      </w:r>
      <w:r w:rsidR="00FF380F" w:rsidRPr="00720DFB">
        <w:rPr>
          <w:i/>
        </w:rPr>
        <w:t>J</w:t>
      </w:r>
      <w:r>
        <w:rPr>
          <w:i/>
        </w:rPr>
        <w:t>.</w:t>
      </w:r>
      <w:r w:rsidR="00FF380F" w:rsidRPr="00720DFB">
        <w:rPr>
          <w:i/>
        </w:rPr>
        <w:t xml:space="preserve"> Med</w:t>
      </w:r>
      <w:r>
        <w:rPr>
          <w:i/>
        </w:rPr>
        <w:t>.</w:t>
      </w:r>
      <w:r w:rsidR="00FF380F" w:rsidRPr="00720DFB">
        <w:rPr>
          <w:i/>
        </w:rPr>
        <w:t xml:space="preserve"> Chem</w:t>
      </w:r>
      <w:r>
        <w:rPr>
          <w:i/>
        </w:rPr>
        <w:t>.</w:t>
      </w:r>
      <w:r w:rsidR="00FF380F" w:rsidRPr="00720DFB">
        <w:rPr>
          <w:i/>
        </w:rPr>
        <w:t xml:space="preserve"> </w:t>
      </w:r>
      <w:r w:rsidR="00FF380F" w:rsidRPr="00720DFB">
        <w:rPr>
          <w:b/>
        </w:rPr>
        <w:t>2004</w:t>
      </w:r>
      <w:r w:rsidR="00FF380F" w:rsidRPr="00720DFB">
        <w:t xml:space="preserve">, </w:t>
      </w:r>
      <w:r w:rsidR="00FF380F" w:rsidRPr="00BF16C0">
        <w:rPr>
          <w:i/>
          <w:iCs/>
        </w:rPr>
        <w:t>47</w:t>
      </w:r>
      <w:r w:rsidR="00FF380F" w:rsidRPr="00720DFB">
        <w:t>, 1750-1759.</w:t>
      </w:r>
    </w:p>
    <w:p w14:paraId="33E1F67A" w14:textId="5EC0BDA5" w:rsidR="00FF380F" w:rsidRPr="00720DFB" w:rsidRDefault="00BF16C0" w:rsidP="00FF380F">
      <w:pPr>
        <w:pStyle w:val="EndNoteBibliography"/>
        <w:spacing w:after="0"/>
        <w:jc w:val="both"/>
      </w:pPr>
      <w:r>
        <w:t>(</w:t>
      </w:r>
      <w:r w:rsidR="00FF380F" w:rsidRPr="00720DFB">
        <w:t>24</w:t>
      </w:r>
      <w:r>
        <w:t xml:space="preserve">) </w:t>
      </w:r>
      <w:r w:rsidR="00FF380F" w:rsidRPr="00720DFB">
        <w:t xml:space="preserve">Pesce, L.; Calandrini, V.; Marjault, H. B.; Lipper, C. H.; Rossetti, G.; Mittler, R.; Jennings, P. A.; Bauer, A.; Nechushtai, R.; Carloni, P., Molecular Dynamics Simulations of the [2Fe-2S] Cluster-Binding Domain of NEET Proteins Reveal Key Molecular Determinants That Induce Their Cluster Transfer/Release. </w:t>
      </w:r>
      <w:r w:rsidR="00FF380F" w:rsidRPr="00720DFB">
        <w:rPr>
          <w:i/>
        </w:rPr>
        <w:t>J</w:t>
      </w:r>
      <w:r>
        <w:rPr>
          <w:i/>
        </w:rPr>
        <w:t>.</w:t>
      </w:r>
      <w:r w:rsidR="00FF380F" w:rsidRPr="00720DFB">
        <w:rPr>
          <w:i/>
        </w:rPr>
        <w:t xml:space="preserve"> Phys</w:t>
      </w:r>
      <w:r>
        <w:rPr>
          <w:i/>
        </w:rPr>
        <w:t>.</w:t>
      </w:r>
      <w:r w:rsidR="00FF380F" w:rsidRPr="00720DFB">
        <w:rPr>
          <w:i/>
        </w:rPr>
        <w:t xml:space="preserve"> Chem</w:t>
      </w:r>
      <w:r>
        <w:rPr>
          <w:i/>
        </w:rPr>
        <w:t>.</w:t>
      </w:r>
      <w:r w:rsidR="00FF380F" w:rsidRPr="00720DFB">
        <w:rPr>
          <w:i/>
        </w:rPr>
        <w:t xml:space="preserve"> B </w:t>
      </w:r>
      <w:r w:rsidR="00FF380F" w:rsidRPr="00720DFB">
        <w:rPr>
          <w:b/>
        </w:rPr>
        <w:t>2017</w:t>
      </w:r>
      <w:r w:rsidR="00FF380F" w:rsidRPr="00720DFB">
        <w:t xml:space="preserve">, </w:t>
      </w:r>
      <w:r w:rsidR="00FF380F" w:rsidRPr="00BF16C0">
        <w:rPr>
          <w:i/>
          <w:iCs/>
        </w:rPr>
        <w:t>121</w:t>
      </w:r>
      <w:r w:rsidR="00FF380F" w:rsidRPr="00720DFB">
        <w:t>, 10648-10656.</w:t>
      </w:r>
    </w:p>
    <w:p w14:paraId="7EB97537" w14:textId="41E6D36A" w:rsidR="00FF380F" w:rsidRPr="00720DFB" w:rsidRDefault="00BF16C0" w:rsidP="00FF380F">
      <w:pPr>
        <w:pStyle w:val="EndNoteBibliography"/>
        <w:spacing w:after="0"/>
        <w:jc w:val="both"/>
      </w:pPr>
      <w:r>
        <w:t>(</w:t>
      </w:r>
      <w:r w:rsidR="00FF380F" w:rsidRPr="00720DFB">
        <w:t>25</w:t>
      </w:r>
      <w:r>
        <w:t xml:space="preserve">) </w:t>
      </w:r>
      <w:r w:rsidR="00FF380F" w:rsidRPr="00720DFB">
        <w:t xml:space="preserve">Lindorff-Larsen, K.; Piana, S.; Palmo, K.; Maragakis, P.; Klepeis, J. L.; Dror, R. O.; Shaw, D. E., Improved </w:t>
      </w:r>
      <w:r>
        <w:t>S</w:t>
      </w:r>
      <w:r w:rsidR="00FF380F" w:rsidRPr="00720DFB">
        <w:t>ide-</w:t>
      </w:r>
      <w:r>
        <w:t>C</w:t>
      </w:r>
      <w:r w:rsidR="00FF380F" w:rsidRPr="00720DFB">
        <w:t xml:space="preserve">hain </w:t>
      </w:r>
      <w:r>
        <w:t>T</w:t>
      </w:r>
      <w:r w:rsidR="00FF380F" w:rsidRPr="00720DFB">
        <w:t xml:space="preserve">orsion </w:t>
      </w:r>
      <w:r>
        <w:t>P</w:t>
      </w:r>
      <w:r w:rsidR="00FF380F" w:rsidRPr="00720DFB">
        <w:t xml:space="preserve">otentials for the Amber ff99SB </w:t>
      </w:r>
      <w:r>
        <w:t>P</w:t>
      </w:r>
      <w:r w:rsidR="00FF380F" w:rsidRPr="00720DFB">
        <w:t xml:space="preserve">rotein </w:t>
      </w:r>
      <w:r>
        <w:t>F</w:t>
      </w:r>
      <w:r w:rsidR="00FF380F" w:rsidRPr="00720DFB">
        <w:t xml:space="preserve">orce </w:t>
      </w:r>
      <w:r>
        <w:t>F</w:t>
      </w:r>
      <w:r w:rsidR="00FF380F" w:rsidRPr="00720DFB">
        <w:t xml:space="preserve">ield. </w:t>
      </w:r>
      <w:r w:rsidR="00FF380F" w:rsidRPr="00720DFB">
        <w:rPr>
          <w:i/>
        </w:rPr>
        <w:t xml:space="preserve">Proteins </w:t>
      </w:r>
      <w:r w:rsidR="00FF380F" w:rsidRPr="00720DFB">
        <w:rPr>
          <w:b/>
        </w:rPr>
        <w:t>2010</w:t>
      </w:r>
      <w:r w:rsidR="00FF380F" w:rsidRPr="00720DFB">
        <w:t xml:space="preserve">, </w:t>
      </w:r>
      <w:r w:rsidR="00FF380F" w:rsidRPr="00BF16C0">
        <w:rPr>
          <w:i/>
          <w:iCs/>
        </w:rPr>
        <w:t>78</w:t>
      </w:r>
      <w:r w:rsidR="00FF380F" w:rsidRPr="00720DFB">
        <w:t>, 1950-1958.</w:t>
      </w:r>
    </w:p>
    <w:p w14:paraId="2BD2C973" w14:textId="70E06FE9" w:rsidR="00FF380F" w:rsidRPr="00720DFB" w:rsidRDefault="00BF16C0" w:rsidP="00FF380F">
      <w:pPr>
        <w:pStyle w:val="EndNoteBibliography"/>
        <w:spacing w:after="0"/>
        <w:jc w:val="both"/>
      </w:pPr>
      <w:r>
        <w:t>(</w:t>
      </w:r>
      <w:r w:rsidR="00FF380F" w:rsidRPr="00720DFB">
        <w:t>26</w:t>
      </w:r>
      <w:r>
        <w:t xml:space="preserve">) </w:t>
      </w:r>
      <w:r w:rsidR="00FF380F" w:rsidRPr="00720DFB">
        <w:t xml:space="preserve">Sorin, E. J.; Pande, V. S., Exploring the </w:t>
      </w:r>
      <w:r>
        <w:t>H</w:t>
      </w:r>
      <w:r w:rsidR="00FF380F" w:rsidRPr="00720DFB">
        <w:t>elix-</w:t>
      </w:r>
      <w:r>
        <w:t>C</w:t>
      </w:r>
      <w:r w:rsidR="00FF380F" w:rsidRPr="00720DFB">
        <w:t xml:space="preserve">oil </w:t>
      </w:r>
      <w:r>
        <w:t>T</w:t>
      </w:r>
      <w:r w:rsidR="00FF380F" w:rsidRPr="00720DFB">
        <w:t xml:space="preserve">ransition via </w:t>
      </w:r>
      <w:r>
        <w:t>A</w:t>
      </w:r>
      <w:r w:rsidR="00FF380F" w:rsidRPr="00720DFB">
        <w:t>ll-</w:t>
      </w:r>
      <w:r>
        <w:t>A</w:t>
      </w:r>
      <w:r w:rsidR="00FF380F" w:rsidRPr="00720DFB">
        <w:t xml:space="preserve">tom </w:t>
      </w:r>
      <w:r>
        <w:t>E</w:t>
      </w:r>
      <w:r w:rsidR="00FF380F" w:rsidRPr="00720DFB">
        <w:t xml:space="preserve">quilibrium </w:t>
      </w:r>
      <w:r>
        <w:t>E</w:t>
      </w:r>
      <w:r w:rsidR="00FF380F" w:rsidRPr="00720DFB">
        <w:t xml:space="preserve">nsemble </w:t>
      </w:r>
      <w:r>
        <w:t>S</w:t>
      </w:r>
      <w:r w:rsidR="00FF380F" w:rsidRPr="00720DFB">
        <w:t xml:space="preserve">imulations. </w:t>
      </w:r>
      <w:r w:rsidR="00FF380F" w:rsidRPr="00720DFB">
        <w:rPr>
          <w:i/>
        </w:rPr>
        <w:t>Biophys</w:t>
      </w:r>
      <w:r>
        <w:rPr>
          <w:i/>
        </w:rPr>
        <w:t>.</w:t>
      </w:r>
      <w:r w:rsidR="00FF380F" w:rsidRPr="00720DFB">
        <w:rPr>
          <w:i/>
        </w:rPr>
        <w:t xml:space="preserve"> J</w:t>
      </w:r>
      <w:r>
        <w:rPr>
          <w:i/>
        </w:rPr>
        <w:t>.</w:t>
      </w:r>
      <w:r w:rsidR="00FF380F" w:rsidRPr="00720DFB">
        <w:rPr>
          <w:i/>
        </w:rPr>
        <w:t xml:space="preserve"> </w:t>
      </w:r>
      <w:r w:rsidR="00FF380F" w:rsidRPr="00720DFB">
        <w:rPr>
          <w:b/>
        </w:rPr>
        <w:t>2005</w:t>
      </w:r>
      <w:r w:rsidR="00FF380F" w:rsidRPr="00720DFB">
        <w:t xml:space="preserve">, </w:t>
      </w:r>
      <w:r w:rsidR="00FF380F" w:rsidRPr="00BF16C0">
        <w:rPr>
          <w:i/>
          <w:iCs/>
        </w:rPr>
        <w:t>88</w:t>
      </w:r>
      <w:r w:rsidR="00FF380F" w:rsidRPr="00720DFB">
        <w:t>, 2472-2493.</w:t>
      </w:r>
    </w:p>
    <w:p w14:paraId="50870E07" w14:textId="3CC80970" w:rsidR="00FF380F" w:rsidRPr="00720DFB" w:rsidRDefault="00BF16C0" w:rsidP="00FF380F">
      <w:pPr>
        <w:pStyle w:val="EndNoteBibliography"/>
        <w:spacing w:after="0"/>
        <w:jc w:val="both"/>
      </w:pPr>
      <w:r>
        <w:t>(</w:t>
      </w:r>
      <w:r w:rsidR="00FF380F" w:rsidRPr="00720DFB">
        <w:t>27</w:t>
      </w:r>
      <w:r>
        <w:t xml:space="preserve">) </w:t>
      </w:r>
      <w:r w:rsidR="00FF380F" w:rsidRPr="00720DFB">
        <w:t xml:space="preserve">Jorgensen, W. L.; Chandrasekhar, J.; Madura, J. D.; Impey, R. W.; Klein, M. L., Comparison of Simple Potential Functions for Simulating Liquid Water. </w:t>
      </w:r>
      <w:r w:rsidR="00FF380F" w:rsidRPr="00720DFB">
        <w:rPr>
          <w:i/>
        </w:rPr>
        <w:t>J</w:t>
      </w:r>
      <w:r>
        <w:rPr>
          <w:i/>
        </w:rPr>
        <w:t>.</w:t>
      </w:r>
      <w:r w:rsidR="00FF380F" w:rsidRPr="00720DFB">
        <w:rPr>
          <w:i/>
        </w:rPr>
        <w:t xml:space="preserve"> Chem</w:t>
      </w:r>
      <w:r>
        <w:rPr>
          <w:i/>
        </w:rPr>
        <w:t>.</w:t>
      </w:r>
      <w:r w:rsidR="00FF380F" w:rsidRPr="00720DFB">
        <w:rPr>
          <w:i/>
        </w:rPr>
        <w:t xml:space="preserve"> Phys</w:t>
      </w:r>
      <w:r>
        <w:rPr>
          <w:i/>
        </w:rPr>
        <w:t>.</w:t>
      </w:r>
      <w:r w:rsidR="00FF380F" w:rsidRPr="00720DFB">
        <w:rPr>
          <w:i/>
        </w:rPr>
        <w:t xml:space="preserve"> </w:t>
      </w:r>
      <w:r w:rsidR="00FF380F" w:rsidRPr="00720DFB">
        <w:rPr>
          <w:b/>
        </w:rPr>
        <w:t>1983</w:t>
      </w:r>
      <w:r w:rsidR="00FF380F" w:rsidRPr="00720DFB">
        <w:t xml:space="preserve">, </w:t>
      </w:r>
      <w:r w:rsidR="00FF380F" w:rsidRPr="00BF16C0">
        <w:rPr>
          <w:i/>
          <w:iCs/>
        </w:rPr>
        <w:t>79</w:t>
      </w:r>
      <w:r w:rsidR="00FF380F" w:rsidRPr="00720DFB">
        <w:t>, 926-935.</w:t>
      </w:r>
    </w:p>
    <w:p w14:paraId="683206CB" w14:textId="1C2C95C8" w:rsidR="00FF380F" w:rsidRPr="00720DFB" w:rsidRDefault="00BF16C0" w:rsidP="00FF380F">
      <w:pPr>
        <w:pStyle w:val="EndNoteBibliography"/>
        <w:spacing w:after="0"/>
        <w:jc w:val="both"/>
      </w:pPr>
      <w:r>
        <w:t>(</w:t>
      </w:r>
      <w:r w:rsidR="00FF380F" w:rsidRPr="00720DFB">
        <w:t>28</w:t>
      </w:r>
      <w:r>
        <w:t xml:space="preserve">) </w:t>
      </w:r>
      <w:r w:rsidR="00FF380F" w:rsidRPr="00720DFB">
        <w:t xml:space="preserve">Aqvist, J., Ion Water Interaction Potentials Derived from Free-Energy Perturbation Simulations. </w:t>
      </w:r>
      <w:r w:rsidR="00FF380F" w:rsidRPr="00720DFB">
        <w:rPr>
          <w:i/>
        </w:rPr>
        <w:t>J</w:t>
      </w:r>
      <w:r>
        <w:rPr>
          <w:i/>
        </w:rPr>
        <w:t>.</w:t>
      </w:r>
      <w:r w:rsidR="00FF380F" w:rsidRPr="00720DFB">
        <w:rPr>
          <w:i/>
        </w:rPr>
        <w:t xml:space="preserve"> Phys</w:t>
      </w:r>
      <w:r>
        <w:rPr>
          <w:i/>
        </w:rPr>
        <w:t>.</w:t>
      </w:r>
      <w:r w:rsidR="00FF380F" w:rsidRPr="00720DFB">
        <w:rPr>
          <w:i/>
        </w:rPr>
        <w:t xml:space="preserve"> Chem</w:t>
      </w:r>
      <w:r>
        <w:rPr>
          <w:i/>
        </w:rPr>
        <w:t>.</w:t>
      </w:r>
      <w:r w:rsidR="00FF380F" w:rsidRPr="00720DFB">
        <w:rPr>
          <w:i/>
        </w:rPr>
        <w:t xml:space="preserve"> </w:t>
      </w:r>
      <w:r w:rsidR="00FF380F" w:rsidRPr="00720DFB">
        <w:rPr>
          <w:b/>
        </w:rPr>
        <w:t>1990</w:t>
      </w:r>
      <w:r w:rsidR="00FF380F" w:rsidRPr="00720DFB">
        <w:t xml:space="preserve">, </w:t>
      </w:r>
      <w:r w:rsidR="00FF380F" w:rsidRPr="00BF16C0">
        <w:rPr>
          <w:i/>
          <w:iCs/>
        </w:rPr>
        <w:t>94</w:t>
      </w:r>
      <w:r w:rsidR="00FF380F" w:rsidRPr="00720DFB">
        <w:t>, 8021-8024.</w:t>
      </w:r>
    </w:p>
    <w:p w14:paraId="623B9B4C" w14:textId="6316FD17" w:rsidR="00FF380F" w:rsidRPr="00720DFB" w:rsidRDefault="00BF16C0" w:rsidP="00FF380F">
      <w:pPr>
        <w:pStyle w:val="EndNoteBibliography"/>
        <w:spacing w:after="0"/>
        <w:jc w:val="both"/>
      </w:pPr>
      <w:r>
        <w:t>(</w:t>
      </w:r>
      <w:r w:rsidR="00FF380F" w:rsidRPr="00720DFB">
        <w:t>29</w:t>
      </w:r>
      <w:r>
        <w:t xml:space="preserve">) </w:t>
      </w:r>
      <w:r w:rsidR="00FF380F" w:rsidRPr="00720DFB">
        <w:t xml:space="preserve">Wang, J. M.; Wolf, R. M.; Caldwell, J. W.; Kollman, P. A.; Case, D. A., Development and </w:t>
      </w:r>
      <w:r w:rsidR="00746778">
        <w:t>T</w:t>
      </w:r>
      <w:r w:rsidR="00FF380F" w:rsidRPr="00720DFB">
        <w:t xml:space="preserve">esting of a </w:t>
      </w:r>
      <w:r w:rsidR="00746778">
        <w:t>G</w:t>
      </w:r>
      <w:r w:rsidR="00FF380F" w:rsidRPr="00720DFB">
        <w:t xml:space="preserve">eneral </w:t>
      </w:r>
      <w:r w:rsidR="00746778">
        <w:t>A</w:t>
      </w:r>
      <w:r w:rsidR="00FF380F" w:rsidRPr="00720DFB">
        <w:t xml:space="preserve">mber </w:t>
      </w:r>
      <w:r w:rsidR="00746778">
        <w:t>F</w:t>
      </w:r>
      <w:r w:rsidR="00FF380F" w:rsidRPr="00720DFB">
        <w:t xml:space="preserve">orce </w:t>
      </w:r>
      <w:r w:rsidR="00746778">
        <w:t>F</w:t>
      </w:r>
      <w:r w:rsidR="00FF380F" w:rsidRPr="00720DFB">
        <w:t xml:space="preserve">ield. </w:t>
      </w:r>
      <w:r w:rsidR="00FF380F" w:rsidRPr="00720DFB">
        <w:rPr>
          <w:i/>
        </w:rPr>
        <w:t>J</w:t>
      </w:r>
      <w:r w:rsidR="00746778">
        <w:rPr>
          <w:i/>
        </w:rPr>
        <w:t>.</w:t>
      </w:r>
      <w:r w:rsidR="00FF380F" w:rsidRPr="00720DFB">
        <w:rPr>
          <w:i/>
        </w:rPr>
        <w:t xml:space="preserve"> Comput</w:t>
      </w:r>
      <w:r w:rsidR="00746778">
        <w:rPr>
          <w:i/>
        </w:rPr>
        <w:t>.</w:t>
      </w:r>
      <w:r w:rsidR="00FF380F" w:rsidRPr="00720DFB">
        <w:rPr>
          <w:i/>
        </w:rPr>
        <w:t xml:space="preserve"> Chem</w:t>
      </w:r>
      <w:r w:rsidR="00746778">
        <w:rPr>
          <w:i/>
        </w:rPr>
        <w:t>.</w:t>
      </w:r>
      <w:r w:rsidR="00FF380F" w:rsidRPr="00720DFB">
        <w:rPr>
          <w:i/>
        </w:rPr>
        <w:t xml:space="preserve"> </w:t>
      </w:r>
      <w:r w:rsidR="00FF380F" w:rsidRPr="00720DFB">
        <w:rPr>
          <w:b/>
        </w:rPr>
        <w:t>2004</w:t>
      </w:r>
      <w:r w:rsidR="00FF380F" w:rsidRPr="00720DFB">
        <w:t xml:space="preserve">, </w:t>
      </w:r>
      <w:r w:rsidR="00FF380F" w:rsidRPr="00746778">
        <w:rPr>
          <w:i/>
          <w:iCs/>
        </w:rPr>
        <w:t>25</w:t>
      </w:r>
      <w:r w:rsidR="00FF380F" w:rsidRPr="00720DFB">
        <w:t>, 1157-1174.</w:t>
      </w:r>
    </w:p>
    <w:p w14:paraId="23C18EA0" w14:textId="202EF0CB" w:rsidR="00FF380F" w:rsidRPr="00720DFB" w:rsidRDefault="00746778" w:rsidP="00FF380F">
      <w:pPr>
        <w:pStyle w:val="EndNoteBibliography"/>
        <w:spacing w:after="0"/>
        <w:jc w:val="both"/>
      </w:pPr>
      <w:r>
        <w:lastRenderedPageBreak/>
        <w:t>(</w:t>
      </w:r>
      <w:r w:rsidR="00FF380F" w:rsidRPr="00720DFB">
        <w:t>30</w:t>
      </w:r>
      <w:r>
        <w:t xml:space="preserve">) </w:t>
      </w:r>
      <w:r w:rsidR="00FF380F" w:rsidRPr="00720DFB">
        <w:t xml:space="preserve">Jakalian, A.; Jack, D. B.; Bayly, C. I., Fast, </w:t>
      </w:r>
      <w:r>
        <w:t>E</w:t>
      </w:r>
      <w:r w:rsidR="00FF380F" w:rsidRPr="00720DFB">
        <w:t xml:space="preserve">fficient </w:t>
      </w:r>
      <w:r>
        <w:t>G</w:t>
      </w:r>
      <w:r w:rsidR="00FF380F" w:rsidRPr="00720DFB">
        <w:t xml:space="preserve">eneration of </w:t>
      </w:r>
      <w:r>
        <w:t>H</w:t>
      </w:r>
      <w:r w:rsidR="00FF380F" w:rsidRPr="00720DFB">
        <w:t>igh-</w:t>
      </w:r>
      <w:r>
        <w:t>Q</w:t>
      </w:r>
      <w:r w:rsidR="00FF380F" w:rsidRPr="00720DFB">
        <w:t xml:space="preserve">uality </w:t>
      </w:r>
      <w:r>
        <w:t>A</w:t>
      </w:r>
      <w:r w:rsidR="00FF380F" w:rsidRPr="00720DFB">
        <w:t xml:space="preserve">tomic </w:t>
      </w:r>
      <w:r>
        <w:t>C</w:t>
      </w:r>
      <w:r w:rsidR="00FF380F" w:rsidRPr="00720DFB">
        <w:t xml:space="preserve">harges. AM1-BCC </w:t>
      </w:r>
      <w:r>
        <w:t>M</w:t>
      </w:r>
      <w:r w:rsidR="00FF380F" w:rsidRPr="00720DFB">
        <w:t xml:space="preserve">odel: II. Parameterization and </w:t>
      </w:r>
      <w:r>
        <w:t>V</w:t>
      </w:r>
      <w:r w:rsidR="00FF380F" w:rsidRPr="00720DFB">
        <w:t xml:space="preserve">alidation. </w:t>
      </w:r>
      <w:r w:rsidR="00FF380F" w:rsidRPr="00720DFB">
        <w:rPr>
          <w:i/>
        </w:rPr>
        <w:t>J</w:t>
      </w:r>
      <w:r>
        <w:rPr>
          <w:i/>
        </w:rPr>
        <w:t>.</w:t>
      </w:r>
      <w:r w:rsidR="00FF380F" w:rsidRPr="00720DFB">
        <w:rPr>
          <w:i/>
        </w:rPr>
        <w:t xml:space="preserve"> Comput</w:t>
      </w:r>
      <w:r>
        <w:rPr>
          <w:i/>
        </w:rPr>
        <w:t>.</w:t>
      </w:r>
      <w:r w:rsidR="00FF380F" w:rsidRPr="00720DFB">
        <w:rPr>
          <w:i/>
        </w:rPr>
        <w:t xml:space="preserve"> Chem</w:t>
      </w:r>
      <w:r>
        <w:rPr>
          <w:i/>
        </w:rPr>
        <w:t>.</w:t>
      </w:r>
      <w:r w:rsidR="00FF380F" w:rsidRPr="00720DFB">
        <w:rPr>
          <w:i/>
        </w:rPr>
        <w:t xml:space="preserve"> </w:t>
      </w:r>
      <w:r w:rsidR="00FF380F" w:rsidRPr="00720DFB">
        <w:rPr>
          <w:b/>
        </w:rPr>
        <w:t>2002</w:t>
      </w:r>
      <w:r w:rsidR="00FF380F" w:rsidRPr="00720DFB">
        <w:t xml:space="preserve">, </w:t>
      </w:r>
      <w:r w:rsidR="00FF380F" w:rsidRPr="00746778">
        <w:rPr>
          <w:i/>
          <w:iCs/>
        </w:rPr>
        <w:t>23</w:t>
      </w:r>
      <w:r w:rsidR="00FF380F" w:rsidRPr="00720DFB">
        <w:t>, 1623-1641.</w:t>
      </w:r>
    </w:p>
    <w:p w14:paraId="538945B3" w14:textId="28B91FED" w:rsidR="00FF380F" w:rsidRPr="00720DFB" w:rsidRDefault="00746778" w:rsidP="00FF380F">
      <w:pPr>
        <w:pStyle w:val="EndNoteBibliography"/>
        <w:spacing w:after="0"/>
        <w:jc w:val="both"/>
      </w:pPr>
      <w:r>
        <w:t>(</w:t>
      </w:r>
      <w:r w:rsidR="00FF380F" w:rsidRPr="00720DFB">
        <w:t>31</w:t>
      </w:r>
      <w:r>
        <w:t xml:space="preserve">) </w:t>
      </w:r>
      <w:r w:rsidR="00FF380F" w:rsidRPr="00720DFB">
        <w:t xml:space="preserve">Essmann, U.; Perera, L.; Berkowitz, M. L.; Darden, T.; Lee, H.; Pedersen, L. G., A Smooth Particle Mesh Ewald Method. </w:t>
      </w:r>
      <w:r w:rsidR="00FF380F" w:rsidRPr="00720DFB">
        <w:rPr>
          <w:i/>
        </w:rPr>
        <w:t>J</w:t>
      </w:r>
      <w:r>
        <w:rPr>
          <w:i/>
        </w:rPr>
        <w:t>.</w:t>
      </w:r>
      <w:r w:rsidR="00FF380F" w:rsidRPr="00720DFB">
        <w:rPr>
          <w:i/>
        </w:rPr>
        <w:t xml:space="preserve"> Chem</w:t>
      </w:r>
      <w:r>
        <w:rPr>
          <w:i/>
        </w:rPr>
        <w:t>.</w:t>
      </w:r>
      <w:r w:rsidR="00FF380F" w:rsidRPr="00720DFB">
        <w:rPr>
          <w:i/>
        </w:rPr>
        <w:t xml:space="preserve"> Phys</w:t>
      </w:r>
      <w:r>
        <w:rPr>
          <w:i/>
        </w:rPr>
        <w:t>.</w:t>
      </w:r>
      <w:r w:rsidR="00FF380F" w:rsidRPr="00720DFB">
        <w:rPr>
          <w:i/>
        </w:rPr>
        <w:t xml:space="preserve"> </w:t>
      </w:r>
      <w:r w:rsidR="00FF380F" w:rsidRPr="00720DFB">
        <w:rPr>
          <w:b/>
        </w:rPr>
        <w:t>1995</w:t>
      </w:r>
      <w:r w:rsidR="00FF380F" w:rsidRPr="00720DFB">
        <w:t xml:space="preserve">, </w:t>
      </w:r>
      <w:r w:rsidR="00FF380F" w:rsidRPr="00746778">
        <w:rPr>
          <w:i/>
          <w:iCs/>
        </w:rPr>
        <w:t>103</w:t>
      </w:r>
      <w:r w:rsidR="00FF380F" w:rsidRPr="00720DFB">
        <w:t>, 8577-8593.</w:t>
      </w:r>
    </w:p>
    <w:p w14:paraId="5443B8FF" w14:textId="31D13AEB" w:rsidR="00FF380F" w:rsidRPr="00720DFB" w:rsidRDefault="00746778" w:rsidP="00FF380F">
      <w:pPr>
        <w:pStyle w:val="EndNoteBibliography"/>
        <w:spacing w:after="0"/>
        <w:jc w:val="both"/>
      </w:pPr>
      <w:r>
        <w:t>(</w:t>
      </w:r>
      <w:r w:rsidR="00FF380F" w:rsidRPr="00720DFB">
        <w:t>32</w:t>
      </w:r>
      <w:r>
        <w:t xml:space="preserve">) </w:t>
      </w:r>
      <w:r w:rsidR="00FF380F" w:rsidRPr="00720DFB">
        <w:t xml:space="preserve">Hess, B.; Bekker, H.; Berendsen, H. J. C.; Fraaije, J. G. E. M., LINCS: A </w:t>
      </w:r>
      <w:r>
        <w:t>L</w:t>
      </w:r>
      <w:r w:rsidR="00FF380F" w:rsidRPr="00720DFB">
        <w:t xml:space="preserve">inear </w:t>
      </w:r>
      <w:r>
        <w:t>C</w:t>
      </w:r>
      <w:r w:rsidR="00FF380F" w:rsidRPr="00720DFB">
        <w:t xml:space="preserve">onstraint </w:t>
      </w:r>
      <w:r>
        <w:t>S</w:t>
      </w:r>
      <w:r w:rsidR="00FF380F" w:rsidRPr="00720DFB">
        <w:t xml:space="preserve">olver for </w:t>
      </w:r>
      <w:r>
        <w:t>M</w:t>
      </w:r>
      <w:r w:rsidR="00FF380F" w:rsidRPr="00720DFB">
        <w:t xml:space="preserve">olecular </w:t>
      </w:r>
      <w:r>
        <w:t>S</w:t>
      </w:r>
      <w:r w:rsidR="00FF380F" w:rsidRPr="00720DFB">
        <w:t xml:space="preserve">imulations. </w:t>
      </w:r>
      <w:r w:rsidR="00FF380F" w:rsidRPr="00720DFB">
        <w:rPr>
          <w:i/>
        </w:rPr>
        <w:t>J</w:t>
      </w:r>
      <w:r>
        <w:rPr>
          <w:i/>
        </w:rPr>
        <w:t>.</w:t>
      </w:r>
      <w:r w:rsidR="00FF380F" w:rsidRPr="00720DFB">
        <w:rPr>
          <w:i/>
        </w:rPr>
        <w:t xml:space="preserve"> Comput</w:t>
      </w:r>
      <w:r>
        <w:rPr>
          <w:i/>
        </w:rPr>
        <w:t>.</w:t>
      </w:r>
      <w:r w:rsidR="00FF380F" w:rsidRPr="00720DFB">
        <w:rPr>
          <w:i/>
        </w:rPr>
        <w:t xml:space="preserve"> Chem</w:t>
      </w:r>
      <w:r>
        <w:rPr>
          <w:i/>
        </w:rPr>
        <w:t>.</w:t>
      </w:r>
      <w:r w:rsidR="00FF380F" w:rsidRPr="00720DFB">
        <w:rPr>
          <w:i/>
        </w:rPr>
        <w:t xml:space="preserve"> </w:t>
      </w:r>
      <w:r w:rsidR="00FF380F" w:rsidRPr="00720DFB">
        <w:rPr>
          <w:b/>
        </w:rPr>
        <w:t>1997</w:t>
      </w:r>
      <w:r w:rsidR="00FF380F" w:rsidRPr="00720DFB">
        <w:t xml:space="preserve">, </w:t>
      </w:r>
      <w:r w:rsidR="00FF380F" w:rsidRPr="00746778">
        <w:rPr>
          <w:i/>
          <w:iCs/>
        </w:rPr>
        <w:t>18</w:t>
      </w:r>
      <w:r w:rsidR="00FF380F" w:rsidRPr="00720DFB">
        <w:t>, 1463-1472.</w:t>
      </w:r>
    </w:p>
    <w:p w14:paraId="451CE7BA" w14:textId="79FE7013" w:rsidR="00FF380F" w:rsidRPr="00720DFB" w:rsidRDefault="00746778" w:rsidP="00FF380F">
      <w:pPr>
        <w:pStyle w:val="EndNoteBibliography"/>
        <w:spacing w:after="0"/>
        <w:jc w:val="both"/>
      </w:pPr>
      <w:r>
        <w:t>(</w:t>
      </w:r>
      <w:r w:rsidR="00FF380F" w:rsidRPr="00720DFB">
        <w:t>33</w:t>
      </w:r>
      <w:r>
        <w:t xml:space="preserve">) </w:t>
      </w:r>
      <w:r w:rsidR="00FF380F" w:rsidRPr="00720DFB">
        <w:t xml:space="preserve">Nose, S., A Molecular-Dynamics Method for Simulations in the Canonical Ensemble. </w:t>
      </w:r>
      <w:r w:rsidR="00FF380F" w:rsidRPr="00720DFB">
        <w:rPr>
          <w:i/>
        </w:rPr>
        <w:t>Mol</w:t>
      </w:r>
      <w:r>
        <w:rPr>
          <w:i/>
        </w:rPr>
        <w:t>.</w:t>
      </w:r>
      <w:r w:rsidR="00FF380F" w:rsidRPr="00720DFB">
        <w:rPr>
          <w:i/>
        </w:rPr>
        <w:t xml:space="preserve"> Phys</w:t>
      </w:r>
      <w:r>
        <w:rPr>
          <w:i/>
        </w:rPr>
        <w:t>.</w:t>
      </w:r>
      <w:r w:rsidR="00FF380F" w:rsidRPr="00720DFB">
        <w:rPr>
          <w:i/>
        </w:rPr>
        <w:t xml:space="preserve"> </w:t>
      </w:r>
      <w:r w:rsidR="00FF380F" w:rsidRPr="00720DFB">
        <w:rPr>
          <w:b/>
        </w:rPr>
        <w:t>1984</w:t>
      </w:r>
      <w:r w:rsidR="00FF380F" w:rsidRPr="00720DFB">
        <w:t xml:space="preserve">, </w:t>
      </w:r>
      <w:r w:rsidR="00FF380F" w:rsidRPr="00746778">
        <w:rPr>
          <w:i/>
          <w:iCs/>
        </w:rPr>
        <w:t>52</w:t>
      </w:r>
      <w:r w:rsidR="00FF380F" w:rsidRPr="00720DFB">
        <w:t>, 255-268.</w:t>
      </w:r>
    </w:p>
    <w:p w14:paraId="00F2A34A" w14:textId="0879C1F2" w:rsidR="00FF380F" w:rsidRPr="00720DFB" w:rsidRDefault="00746778" w:rsidP="00FF380F">
      <w:pPr>
        <w:pStyle w:val="EndNoteBibliography"/>
        <w:spacing w:after="0"/>
        <w:jc w:val="both"/>
      </w:pPr>
      <w:r>
        <w:t>(</w:t>
      </w:r>
      <w:r w:rsidR="00FF380F" w:rsidRPr="00720DFB">
        <w:t>34</w:t>
      </w:r>
      <w:r>
        <w:t xml:space="preserve">) </w:t>
      </w:r>
      <w:r w:rsidR="00FF380F" w:rsidRPr="00720DFB">
        <w:t xml:space="preserve">Hoover, W. G., Canonical Dynamics - Equilibrium Phase-Space Distributions. </w:t>
      </w:r>
      <w:r w:rsidR="00FF380F" w:rsidRPr="00720DFB">
        <w:rPr>
          <w:i/>
        </w:rPr>
        <w:t>Phys</w:t>
      </w:r>
      <w:r>
        <w:rPr>
          <w:i/>
        </w:rPr>
        <w:t>.</w:t>
      </w:r>
      <w:r w:rsidR="00FF380F" w:rsidRPr="00720DFB">
        <w:rPr>
          <w:i/>
        </w:rPr>
        <w:t xml:space="preserve"> Rev</w:t>
      </w:r>
      <w:r>
        <w:rPr>
          <w:i/>
        </w:rPr>
        <w:t>.</w:t>
      </w:r>
      <w:r w:rsidR="00FF380F" w:rsidRPr="00720DFB">
        <w:rPr>
          <w:i/>
        </w:rPr>
        <w:t xml:space="preserve"> A </w:t>
      </w:r>
      <w:r w:rsidR="00FF380F" w:rsidRPr="00720DFB">
        <w:rPr>
          <w:b/>
        </w:rPr>
        <w:t>1985</w:t>
      </w:r>
      <w:r w:rsidR="00FF380F" w:rsidRPr="00720DFB">
        <w:t xml:space="preserve">, </w:t>
      </w:r>
      <w:r w:rsidR="00FF380F" w:rsidRPr="00746778">
        <w:rPr>
          <w:i/>
          <w:iCs/>
        </w:rPr>
        <w:t>31</w:t>
      </w:r>
      <w:r w:rsidR="00FF380F" w:rsidRPr="00720DFB">
        <w:t>, 1695-1697.</w:t>
      </w:r>
    </w:p>
    <w:p w14:paraId="776F03C1" w14:textId="7A586414" w:rsidR="00FF380F" w:rsidRPr="00720DFB" w:rsidRDefault="00476D70" w:rsidP="00FF380F">
      <w:pPr>
        <w:pStyle w:val="EndNoteBibliography"/>
        <w:spacing w:after="0"/>
        <w:jc w:val="both"/>
      </w:pPr>
      <w:r>
        <w:t>(</w:t>
      </w:r>
      <w:r w:rsidR="00FF380F" w:rsidRPr="00720DFB">
        <w:t>35</w:t>
      </w:r>
      <w:r>
        <w:t xml:space="preserve">) </w:t>
      </w:r>
      <w:r w:rsidR="00FF380F" w:rsidRPr="00720DFB">
        <w:t xml:space="preserve">Parrinello, M.; Rahman, A., Polymorphic Transitions in Single-Crystals - a New Molecular-Dynamics Method. </w:t>
      </w:r>
      <w:r w:rsidR="00FF380F" w:rsidRPr="00720DFB">
        <w:rPr>
          <w:i/>
        </w:rPr>
        <w:t>J</w:t>
      </w:r>
      <w:r>
        <w:rPr>
          <w:i/>
        </w:rPr>
        <w:t>.</w:t>
      </w:r>
      <w:r w:rsidR="00FF380F" w:rsidRPr="00720DFB">
        <w:rPr>
          <w:i/>
        </w:rPr>
        <w:t xml:space="preserve"> Appl</w:t>
      </w:r>
      <w:r>
        <w:rPr>
          <w:i/>
        </w:rPr>
        <w:t>.</w:t>
      </w:r>
      <w:r w:rsidR="00FF380F" w:rsidRPr="00720DFB">
        <w:rPr>
          <w:i/>
        </w:rPr>
        <w:t xml:space="preserve"> Phys</w:t>
      </w:r>
      <w:r>
        <w:rPr>
          <w:i/>
        </w:rPr>
        <w:t>.</w:t>
      </w:r>
      <w:r w:rsidR="00FF380F" w:rsidRPr="00720DFB">
        <w:rPr>
          <w:i/>
        </w:rPr>
        <w:t xml:space="preserve"> </w:t>
      </w:r>
      <w:r w:rsidR="00FF380F" w:rsidRPr="00720DFB">
        <w:rPr>
          <w:b/>
        </w:rPr>
        <w:t>1981</w:t>
      </w:r>
      <w:r w:rsidR="00FF380F" w:rsidRPr="00720DFB">
        <w:t xml:space="preserve">, </w:t>
      </w:r>
      <w:r w:rsidR="00FF380F" w:rsidRPr="00476D70">
        <w:rPr>
          <w:i/>
          <w:iCs/>
        </w:rPr>
        <w:t>52</w:t>
      </w:r>
      <w:r w:rsidR="00FF380F" w:rsidRPr="00720DFB">
        <w:t>, 7182-7190.</w:t>
      </w:r>
    </w:p>
    <w:p w14:paraId="78EFF3F4" w14:textId="6E413CB6" w:rsidR="00FF380F" w:rsidRPr="00720DFB" w:rsidRDefault="00476D70" w:rsidP="00FF380F">
      <w:pPr>
        <w:pStyle w:val="EndNoteBibliography"/>
        <w:spacing w:after="0"/>
        <w:jc w:val="both"/>
      </w:pPr>
      <w:r>
        <w:t>(</w:t>
      </w:r>
      <w:r w:rsidR="00FF380F" w:rsidRPr="00720DFB">
        <w:t>36</w:t>
      </w:r>
      <w:r>
        <w:t xml:space="preserve">) </w:t>
      </w:r>
      <w:r w:rsidR="00FF380F" w:rsidRPr="00720DFB">
        <w:t xml:space="preserve">Berendsen, H. J. C.; Vanderspoel, D.; Vandrunen, R., Gromacs - a Message-Passing Parallel Molecular-Dynamics Implementation. </w:t>
      </w:r>
      <w:r w:rsidR="00FF380F" w:rsidRPr="00720DFB">
        <w:rPr>
          <w:i/>
        </w:rPr>
        <w:t>Comput</w:t>
      </w:r>
      <w:r>
        <w:rPr>
          <w:i/>
        </w:rPr>
        <w:t>.</w:t>
      </w:r>
      <w:r w:rsidR="00FF380F" w:rsidRPr="00720DFB">
        <w:rPr>
          <w:i/>
        </w:rPr>
        <w:t xml:space="preserve"> Phys</w:t>
      </w:r>
      <w:r>
        <w:rPr>
          <w:i/>
        </w:rPr>
        <w:t>.</w:t>
      </w:r>
      <w:r w:rsidR="00FF380F" w:rsidRPr="00720DFB">
        <w:rPr>
          <w:i/>
        </w:rPr>
        <w:t xml:space="preserve"> Commun</w:t>
      </w:r>
      <w:r>
        <w:rPr>
          <w:i/>
        </w:rPr>
        <w:t>.</w:t>
      </w:r>
      <w:r w:rsidR="00FF380F" w:rsidRPr="00720DFB">
        <w:rPr>
          <w:i/>
        </w:rPr>
        <w:t xml:space="preserve"> </w:t>
      </w:r>
      <w:r w:rsidR="00FF380F" w:rsidRPr="00720DFB">
        <w:rPr>
          <w:b/>
        </w:rPr>
        <w:t>1995</w:t>
      </w:r>
      <w:r w:rsidR="00FF380F" w:rsidRPr="00720DFB">
        <w:t xml:space="preserve">, </w:t>
      </w:r>
      <w:r w:rsidR="00FF380F" w:rsidRPr="00476D70">
        <w:rPr>
          <w:i/>
          <w:iCs/>
        </w:rPr>
        <w:t>91</w:t>
      </w:r>
      <w:r w:rsidR="00FF380F" w:rsidRPr="00720DFB">
        <w:t>, 43-56.</w:t>
      </w:r>
    </w:p>
    <w:p w14:paraId="286ED226" w14:textId="719A6A28" w:rsidR="00FF380F" w:rsidRPr="00720DFB" w:rsidRDefault="00476D70" w:rsidP="00FF380F">
      <w:pPr>
        <w:pStyle w:val="EndNoteBibliography"/>
        <w:spacing w:after="0"/>
        <w:jc w:val="both"/>
      </w:pPr>
      <w:r>
        <w:t>(</w:t>
      </w:r>
      <w:r w:rsidR="00FF380F" w:rsidRPr="00720DFB">
        <w:t>37</w:t>
      </w:r>
      <w:r>
        <w:t xml:space="preserve">) </w:t>
      </w:r>
      <w:r w:rsidRPr="00720DFB">
        <w:t>Abraham,</w:t>
      </w:r>
      <w:r>
        <w:t xml:space="preserve"> </w:t>
      </w:r>
      <w:r w:rsidR="00FF380F" w:rsidRPr="00720DFB">
        <w:t>M. J.</w:t>
      </w:r>
      <w:r>
        <w:t>;</w:t>
      </w:r>
      <w:r w:rsidR="00FF380F" w:rsidRPr="00720DFB">
        <w:t xml:space="preserve"> </w:t>
      </w:r>
      <w:r>
        <w:t xml:space="preserve">Murtola, </w:t>
      </w:r>
      <w:r w:rsidR="00FF380F" w:rsidRPr="00720DFB">
        <w:t>T.</w:t>
      </w:r>
      <w:r>
        <w:t>;</w:t>
      </w:r>
      <w:r w:rsidR="00FF380F" w:rsidRPr="00720DFB">
        <w:t xml:space="preserve"> </w:t>
      </w:r>
      <w:r w:rsidRPr="00720DFB">
        <w:t>Schulz,</w:t>
      </w:r>
      <w:r>
        <w:t xml:space="preserve"> </w:t>
      </w:r>
      <w:r w:rsidR="00FF380F" w:rsidRPr="00720DFB">
        <w:t>R.</w:t>
      </w:r>
      <w:r>
        <w:t>;</w:t>
      </w:r>
      <w:r w:rsidR="00FF380F" w:rsidRPr="00720DFB">
        <w:t xml:space="preserve"> </w:t>
      </w:r>
      <w:r w:rsidRPr="00720DFB">
        <w:t>Páll,</w:t>
      </w:r>
      <w:r>
        <w:t xml:space="preserve"> </w:t>
      </w:r>
      <w:r w:rsidR="00FF380F" w:rsidRPr="00720DFB">
        <w:t>S.</w:t>
      </w:r>
      <w:r>
        <w:t>;</w:t>
      </w:r>
      <w:r w:rsidR="00FF380F" w:rsidRPr="00720DFB">
        <w:t xml:space="preserve"> </w:t>
      </w:r>
      <w:r w:rsidRPr="00720DFB">
        <w:t>Smith,</w:t>
      </w:r>
      <w:r>
        <w:t xml:space="preserve"> </w:t>
      </w:r>
      <w:r w:rsidR="00FF380F" w:rsidRPr="00720DFB">
        <w:t>J. C.</w:t>
      </w:r>
      <w:r>
        <w:t>;</w:t>
      </w:r>
      <w:r w:rsidR="00FF380F" w:rsidRPr="00720DFB">
        <w:t xml:space="preserve"> </w:t>
      </w:r>
      <w:r w:rsidRPr="00720DFB">
        <w:t>Hess,</w:t>
      </w:r>
      <w:r>
        <w:t xml:space="preserve"> </w:t>
      </w:r>
      <w:r w:rsidR="00FF380F" w:rsidRPr="00720DFB">
        <w:t>B.</w:t>
      </w:r>
      <w:r>
        <w:t>;</w:t>
      </w:r>
      <w:r w:rsidR="00FF380F" w:rsidRPr="00720DFB">
        <w:t xml:space="preserve"> </w:t>
      </w:r>
      <w:r w:rsidRPr="00720DFB">
        <w:t>Lindahl,</w:t>
      </w:r>
      <w:r>
        <w:t xml:space="preserve"> </w:t>
      </w:r>
      <w:r w:rsidR="00FF380F" w:rsidRPr="00720DFB">
        <w:t>E.</w:t>
      </w:r>
      <w:r>
        <w:t>,</w:t>
      </w:r>
      <w:r w:rsidR="00FF380F" w:rsidRPr="00720DFB">
        <w:t xml:space="preserve"> GROMACS: High </w:t>
      </w:r>
      <w:r>
        <w:t>P</w:t>
      </w:r>
      <w:r w:rsidR="00FF380F" w:rsidRPr="00720DFB">
        <w:t xml:space="preserve">erformance </w:t>
      </w:r>
      <w:r>
        <w:t>M</w:t>
      </w:r>
      <w:r w:rsidR="00FF380F" w:rsidRPr="00720DFB">
        <w:t xml:space="preserve">olecular </w:t>
      </w:r>
      <w:r>
        <w:t>S</w:t>
      </w:r>
      <w:r w:rsidR="00FF380F" w:rsidRPr="00720DFB">
        <w:t xml:space="preserve">imulations </w:t>
      </w:r>
      <w:r>
        <w:t>T</w:t>
      </w:r>
      <w:r w:rsidR="00FF380F" w:rsidRPr="00720DFB">
        <w:t xml:space="preserve">hrough </w:t>
      </w:r>
      <w:r>
        <w:t>M</w:t>
      </w:r>
      <w:r w:rsidR="00FF380F" w:rsidRPr="00720DFB">
        <w:t>ulti-</w:t>
      </w:r>
      <w:r>
        <w:t>L</w:t>
      </w:r>
      <w:r w:rsidR="00FF380F" w:rsidRPr="00720DFB">
        <w:t xml:space="preserve">evel </w:t>
      </w:r>
      <w:r>
        <w:t>P</w:t>
      </w:r>
      <w:r w:rsidR="00FF380F" w:rsidRPr="00720DFB">
        <w:t xml:space="preserve">arallelism from </w:t>
      </w:r>
      <w:r>
        <w:t>L</w:t>
      </w:r>
      <w:r w:rsidR="00FF380F" w:rsidRPr="00720DFB">
        <w:t xml:space="preserve">aptops to </w:t>
      </w:r>
      <w:r>
        <w:t>S</w:t>
      </w:r>
      <w:r w:rsidR="00FF380F" w:rsidRPr="00720DFB">
        <w:t xml:space="preserve">upercomputers. </w:t>
      </w:r>
      <w:r w:rsidR="00FF380F" w:rsidRPr="00720DFB">
        <w:rPr>
          <w:i/>
        </w:rPr>
        <w:t xml:space="preserve">SoftwareX </w:t>
      </w:r>
      <w:r w:rsidR="00FF380F" w:rsidRPr="00720DFB">
        <w:rPr>
          <w:b/>
        </w:rPr>
        <w:t>2015</w:t>
      </w:r>
      <w:r w:rsidR="00FF380F" w:rsidRPr="00720DFB">
        <w:t xml:space="preserve">, </w:t>
      </w:r>
      <w:r w:rsidRPr="00720DFB">
        <w:rPr>
          <w:i/>
        </w:rPr>
        <w:t>1–2</w:t>
      </w:r>
      <w:r w:rsidRPr="00476D70">
        <w:rPr>
          <w:iCs/>
        </w:rPr>
        <w:t>,</w:t>
      </w:r>
      <w:r w:rsidRPr="00720DFB">
        <w:rPr>
          <w:i/>
        </w:rPr>
        <w:t xml:space="preserve"> </w:t>
      </w:r>
      <w:r w:rsidR="00FF380F" w:rsidRPr="00720DFB">
        <w:t>19-25.</w:t>
      </w:r>
    </w:p>
    <w:p w14:paraId="3E80D50B" w14:textId="667B2A40" w:rsidR="00FF380F" w:rsidRPr="00720DFB" w:rsidRDefault="00476D70" w:rsidP="00FF380F">
      <w:pPr>
        <w:pStyle w:val="EndNoteBibliography"/>
        <w:spacing w:after="0"/>
        <w:jc w:val="both"/>
      </w:pPr>
      <w:r>
        <w:t>(</w:t>
      </w:r>
      <w:r w:rsidR="00FF380F" w:rsidRPr="00720DFB">
        <w:t>38</w:t>
      </w:r>
      <w:r>
        <w:t xml:space="preserve">) </w:t>
      </w:r>
      <w:r w:rsidR="00FF380F" w:rsidRPr="00720DFB">
        <w:t xml:space="preserve">Capelli, R.; Bochicchio, A.; Piccini, G.; Casasnovas, R.; Carloni, P.; Parrinello, M., Chasing the Full Free Energy Landscape of Neuroreceptor/Ligand Unbinding by Metadynamics Simulations. </w:t>
      </w:r>
      <w:r w:rsidR="00FF380F" w:rsidRPr="00720DFB">
        <w:rPr>
          <w:i/>
        </w:rPr>
        <w:t>J</w:t>
      </w:r>
      <w:r>
        <w:rPr>
          <w:i/>
        </w:rPr>
        <w:t>.</w:t>
      </w:r>
      <w:r w:rsidR="00FF380F" w:rsidRPr="00720DFB">
        <w:rPr>
          <w:i/>
        </w:rPr>
        <w:t xml:space="preserve"> Chem</w:t>
      </w:r>
      <w:r>
        <w:rPr>
          <w:i/>
        </w:rPr>
        <w:t>.</w:t>
      </w:r>
      <w:r w:rsidR="00FF380F" w:rsidRPr="00720DFB">
        <w:rPr>
          <w:i/>
        </w:rPr>
        <w:t xml:space="preserve"> Theory Comput</w:t>
      </w:r>
      <w:r>
        <w:rPr>
          <w:i/>
        </w:rPr>
        <w:t>.</w:t>
      </w:r>
      <w:r w:rsidR="00FF380F" w:rsidRPr="00720DFB">
        <w:rPr>
          <w:i/>
        </w:rPr>
        <w:t xml:space="preserve"> </w:t>
      </w:r>
      <w:r w:rsidR="00FF380F" w:rsidRPr="00720DFB">
        <w:rPr>
          <w:b/>
        </w:rPr>
        <w:t>2019</w:t>
      </w:r>
      <w:r w:rsidR="00FF380F" w:rsidRPr="00720DFB">
        <w:t xml:space="preserve">, </w:t>
      </w:r>
      <w:r w:rsidR="00FF380F" w:rsidRPr="00476D70">
        <w:rPr>
          <w:i/>
          <w:iCs/>
        </w:rPr>
        <w:t>15</w:t>
      </w:r>
      <w:r w:rsidR="00FF380F" w:rsidRPr="00720DFB">
        <w:t>, 3354-3361.</w:t>
      </w:r>
    </w:p>
    <w:p w14:paraId="6F79EDA5" w14:textId="0CD7170D" w:rsidR="00FF380F" w:rsidRPr="00720DFB" w:rsidRDefault="00476D70" w:rsidP="00FF380F">
      <w:pPr>
        <w:pStyle w:val="EndNoteBibliography"/>
        <w:spacing w:after="0"/>
        <w:jc w:val="both"/>
      </w:pPr>
      <w:r>
        <w:t>(</w:t>
      </w:r>
      <w:r w:rsidR="00FF380F" w:rsidRPr="00720DFB">
        <w:t>39</w:t>
      </w:r>
      <w:r>
        <w:t xml:space="preserve">) </w:t>
      </w:r>
      <w:r w:rsidR="00FF380F" w:rsidRPr="00720DFB">
        <w:t xml:space="preserve">Limongelli, V.; Bonomi, M.; Parrinello, M., Funnel </w:t>
      </w:r>
      <w:r>
        <w:t>M</w:t>
      </w:r>
      <w:r w:rsidR="00FF380F" w:rsidRPr="00720DFB">
        <w:t xml:space="preserve">etadynamics as </w:t>
      </w:r>
      <w:r>
        <w:t>A</w:t>
      </w:r>
      <w:r w:rsidR="00FF380F" w:rsidRPr="00720DFB">
        <w:t xml:space="preserve">ccurate </w:t>
      </w:r>
      <w:r>
        <w:t>B</w:t>
      </w:r>
      <w:r w:rsidR="00FF380F" w:rsidRPr="00720DFB">
        <w:t xml:space="preserve">inding </w:t>
      </w:r>
      <w:r>
        <w:t>F</w:t>
      </w:r>
      <w:r w:rsidR="00FF380F" w:rsidRPr="00720DFB">
        <w:t>ree-</w:t>
      </w:r>
      <w:r>
        <w:t>E</w:t>
      </w:r>
      <w:r w:rsidR="00FF380F" w:rsidRPr="00720DFB">
        <w:t xml:space="preserve">nergy </w:t>
      </w:r>
      <w:r>
        <w:t>M</w:t>
      </w:r>
      <w:r w:rsidR="00FF380F" w:rsidRPr="00720DFB">
        <w:t xml:space="preserve">ethod. </w:t>
      </w:r>
      <w:r w:rsidR="00FF380F" w:rsidRPr="00720DFB">
        <w:rPr>
          <w:i/>
        </w:rPr>
        <w:t>P</w:t>
      </w:r>
      <w:r>
        <w:rPr>
          <w:i/>
        </w:rPr>
        <w:t>.</w:t>
      </w:r>
      <w:r w:rsidR="00FF380F" w:rsidRPr="00720DFB">
        <w:rPr>
          <w:i/>
        </w:rPr>
        <w:t xml:space="preserve"> Natl</w:t>
      </w:r>
      <w:r>
        <w:rPr>
          <w:i/>
        </w:rPr>
        <w:t>.</w:t>
      </w:r>
      <w:r w:rsidR="00FF380F" w:rsidRPr="00720DFB">
        <w:rPr>
          <w:i/>
        </w:rPr>
        <w:t xml:space="preserve"> Acad</w:t>
      </w:r>
      <w:r>
        <w:rPr>
          <w:i/>
        </w:rPr>
        <w:t>.</w:t>
      </w:r>
      <w:r w:rsidR="00FF380F" w:rsidRPr="00720DFB">
        <w:rPr>
          <w:i/>
        </w:rPr>
        <w:t xml:space="preserve"> Sci</w:t>
      </w:r>
      <w:r>
        <w:rPr>
          <w:i/>
        </w:rPr>
        <w:t>.</w:t>
      </w:r>
      <w:r w:rsidR="00FF380F" w:rsidRPr="00720DFB">
        <w:rPr>
          <w:i/>
        </w:rPr>
        <w:t xml:space="preserve"> USA </w:t>
      </w:r>
      <w:r w:rsidR="00FF380F" w:rsidRPr="00720DFB">
        <w:rPr>
          <w:b/>
        </w:rPr>
        <w:t>2013</w:t>
      </w:r>
      <w:r w:rsidR="00FF380F" w:rsidRPr="00720DFB">
        <w:t xml:space="preserve">, </w:t>
      </w:r>
      <w:r w:rsidR="00FF380F" w:rsidRPr="00476D70">
        <w:rPr>
          <w:i/>
          <w:iCs/>
        </w:rPr>
        <w:t>110</w:t>
      </w:r>
      <w:r w:rsidR="00FF380F" w:rsidRPr="00720DFB">
        <w:t>, 6358-</w:t>
      </w:r>
      <w:r>
        <w:t>63</w:t>
      </w:r>
      <w:r w:rsidR="00FF380F" w:rsidRPr="00720DFB">
        <w:t>63.</w:t>
      </w:r>
    </w:p>
    <w:p w14:paraId="339ECD4D" w14:textId="14CFC869" w:rsidR="00FF380F" w:rsidRPr="00720DFB" w:rsidRDefault="00476D70" w:rsidP="00FF380F">
      <w:pPr>
        <w:pStyle w:val="EndNoteBibliography"/>
        <w:spacing w:after="0"/>
        <w:jc w:val="both"/>
      </w:pPr>
      <w:r>
        <w:t>(</w:t>
      </w:r>
      <w:r w:rsidR="00FF380F" w:rsidRPr="00720DFB">
        <w:t>40</w:t>
      </w:r>
      <w:r>
        <w:t xml:space="preserve">) </w:t>
      </w:r>
      <w:r w:rsidR="00FF380F" w:rsidRPr="00720DFB">
        <w:t xml:space="preserve">Allen, T. W.; Andersen, O.; Roux, B., Energetics of </w:t>
      </w:r>
      <w:r>
        <w:t>I</w:t>
      </w:r>
      <w:r w:rsidR="00FF380F" w:rsidRPr="00720DFB">
        <w:t xml:space="preserve">on </w:t>
      </w:r>
      <w:r>
        <w:t>C</w:t>
      </w:r>
      <w:r w:rsidR="00FF380F" w:rsidRPr="00720DFB">
        <w:t xml:space="preserve">onduction </w:t>
      </w:r>
      <w:r>
        <w:t>T</w:t>
      </w:r>
      <w:r w:rsidR="00FF380F" w:rsidRPr="00720DFB">
        <w:t xml:space="preserve">hrough the </w:t>
      </w:r>
      <w:r>
        <w:t>G</w:t>
      </w:r>
      <w:r w:rsidR="00FF380F" w:rsidRPr="00720DFB">
        <w:t xml:space="preserve">ramicidin </w:t>
      </w:r>
      <w:r>
        <w:t>C</w:t>
      </w:r>
      <w:r w:rsidR="00FF380F" w:rsidRPr="00720DFB">
        <w:t xml:space="preserve">hannel. </w:t>
      </w:r>
      <w:r w:rsidR="00F7753B" w:rsidRPr="00720DFB">
        <w:rPr>
          <w:i/>
        </w:rPr>
        <w:t>P</w:t>
      </w:r>
      <w:r w:rsidR="00F7753B">
        <w:rPr>
          <w:i/>
        </w:rPr>
        <w:t>.</w:t>
      </w:r>
      <w:r w:rsidR="00F7753B" w:rsidRPr="00720DFB">
        <w:rPr>
          <w:i/>
        </w:rPr>
        <w:t xml:space="preserve"> Natl</w:t>
      </w:r>
      <w:r w:rsidR="00F7753B">
        <w:rPr>
          <w:i/>
        </w:rPr>
        <w:t>.</w:t>
      </w:r>
      <w:r w:rsidR="00F7753B" w:rsidRPr="00720DFB">
        <w:rPr>
          <w:i/>
        </w:rPr>
        <w:t xml:space="preserve"> Acad</w:t>
      </w:r>
      <w:r w:rsidR="00F7753B">
        <w:rPr>
          <w:i/>
        </w:rPr>
        <w:t>.</w:t>
      </w:r>
      <w:r w:rsidR="00F7753B" w:rsidRPr="00720DFB">
        <w:rPr>
          <w:i/>
        </w:rPr>
        <w:t xml:space="preserve"> Sci</w:t>
      </w:r>
      <w:r w:rsidR="00F7753B">
        <w:rPr>
          <w:i/>
        </w:rPr>
        <w:t>.</w:t>
      </w:r>
      <w:r w:rsidR="00F7753B" w:rsidRPr="00720DFB">
        <w:rPr>
          <w:i/>
        </w:rPr>
        <w:t xml:space="preserve"> USA</w:t>
      </w:r>
      <w:r w:rsidR="00FF380F" w:rsidRPr="00720DFB">
        <w:rPr>
          <w:i/>
        </w:rPr>
        <w:t xml:space="preserve"> </w:t>
      </w:r>
      <w:r w:rsidR="00FF380F" w:rsidRPr="00720DFB">
        <w:rPr>
          <w:b/>
        </w:rPr>
        <w:t>2004</w:t>
      </w:r>
      <w:r w:rsidR="00FF380F" w:rsidRPr="00720DFB">
        <w:t xml:space="preserve">, </w:t>
      </w:r>
      <w:r w:rsidR="00F7753B">
        <w:rPr>
          <w:i/>
          <w:iCs/>
        </w:rPr>
        <w:t>101</w:t>
      </w:r>
      <w:r w:rsidR="00FF380F" w:rsidRPr="00720DFB">
        <w:t xml:space="preserve">, </w:t>
      </w:r>
      <w:r w:rsidR="00F7753B">
        <w:t>117-122</w:t>
      </w:r>
      <w:r w:rsidR="00FF380F" w:rsidRPr="00720DFB">
        <w:t>.</w:t>
      </w:r>
    </w:p>
    <w:p w14:paraId="6E36CE46" w14:textId="2D8102FF" w:rsidR="00FF380F" w:rsidRPr="0030460F" w:rsidRDefault="00F7753B" w:rsidP="00FF380F">
      <w:pPr>
        <w:pStyle w:val="EndNoteBibliography"/>
        <w:spacing w:after="0"/>
        <w:jc w:val="both"/>
        <w:rPr>
          <w:lang w:val="it-IT"/>
        </w:rPr>
      </w:pPr>
      <w:r>
        <w:t>(</w:t>
      </w:r>
      <w:r w:rsidR="00FF380F" w:rsidRPr="00720DFB">
        <w:t>41</w:t>
      </w:r>
      <w:r>
        <w:t>) Tribello, G. A.; Bonomi, M.; Branduardi, D.; Camilloni, C.; Bussi, G.</w:t>
      </w:r>
      <w:r w:rsidR="00FF380F" w:rsidRPr="00720DFB">
        <w:t xml:space="preserve">, Plumed 2: New </w:t>
      </w:r>
      <w:r>
        <w:t>F</w:t>
      </w:r>
      <w:r w:rsidR="00FF380F" w:rsidRPr="00720DFB">
        <w:t xml:space="preserve">eathers for an </w:t>
      </w:r>
      <w:r>
        <w:t>O</w:t>
      </w:r>
      <w:r w:rsidR="00FF380F" w:rsidRPr="00720DFB">
        <w:t xml:space="preserve">ld </w:t>
      </w:r>
      <w:r>
        <w:t>B</w:t>
      </w:r>
      <w:r w:rsidR="00FF380F" w:rsidRPr="00720DFB">
        <w:t>ird.</w:t>
      </w:r>
      <w:r>
        <w:t xml:space="preserve"> </w:t>
      </w:r>
      <w:r w:rsidRPr="00F7753B">
        <w:rPr>
          <w:i/>
          <w:iCs/>
        </w:rPr>
        <w:t>Comput</w:t>
      </w:r>
      <w:r>
        <w:rPr>
          <w:i/>
          <w:iCs/>
        </w:rPr>
        <w:t>.</w:t>
      </w:r>
      <w:r w:rsidRPr="00F7753B">
        <w:rPr>
          <w:i/>
          <w:iCs/>
        </w:rPr>
        <w:t xml:space="preserve"> Phys</w:t>
      </w:r>
      <w:r>
        <w:rPr>
          <w:i/>
          <w:iCs/>
        </w:rPr>
        <w:t>.</w:t>
      </w:r>
      <w:r w:rsidRPr="00F7753B">
        <w:rPr>
          <w:i/>
          <w:iCs/>
        </w:rPr>
        <w:t xml:space="preserve"> Commun</w:t>
      </w:r>
      <w:r>
        <w:rPr>
          <w:i/>
          <w:iCs/>
        </w:rPr>
        <w:t>.</w:t>
      </w:r>
      <w:r w:rsidR="00FF380F" w:rsidRPr="00720DFB">
        <w:t xml:space="preserve"> </w:t>
      </w:r>
      <w:r w:rsidR="00FF380F" w:rsidRPr="0030460F">
        <w:rPr>
          <w:b/>
          <w:lang w:val="it-IT"/>
        </w:rPr>
        <w:t>2014</w:t>
      </w:r>
      <w:r w:rsidR="00FF380F" w:rsidRPr="0030460F">
        <w:rPr>
          <w:lang w:val="it-IT"/>
        </w:rPr>
        <w:t xml:space="preserve">, </w:t>
      </w:r>
      <w:r w:rsidR="00FF380F" w:rsidRPr="00F7753B">
        <w:rPr>
          <w:i/>
          <w:iCs/>
          <w:lang w:val="it-IT"/>
        </w:rPr>
        <w:t>185</w:t>
      </w:r>
      <w:r w:rsidR="00FF380F" w:rsidRPr="0030460F">
        <w:rPr>
          <w:lang w:val="it-IT"/>
        </w:rPr>
        <w:t>, 604-613.</w:t>
      </w:r>
    </w:p>
    <w:p w14:paraId="47944253" w14:textId="77AD9D96" w:rsidR="00FF380F" w:rsidRPr="00720DFB" w:rsidRDefault="00F7753B" w:rsidP="00FF380F">
      <w:pPr>
        <w:pStyle w:val="EndNoteBibliography"/>
        <w:spacing w:after="0"/>
        <w:jc w:val="both"/>
      </w:pPr>
      <w:r>
        <w:rPr>
          <w:lang w:val="it-IT"/>
        </w:rPr>
        <w:t>(</w:t>
      </w:r>
      <w:r w:rsidR="00FF380F" w:rsidRPr="0030460F">
        <w:rPr>
          <w:lang w:val="it-IT"/>
        </w:rPr>
        <w:t>42</w:t>
      </w:r>
      <w:r>
        <w:rPr>
          <w:lang w:val="it-IT"/>
        </w:rPr>
        <w:t>)</w:t>
      </w:r>
      <w:r w:rsidR="00B53B44">
        <w:rPr>
          <w:lang w:val="it-IT"/>
        </w:rPr>
        <w:t xml:space="preserve"> The</w:t>
      </w:r>
      <w:r w:rsidR="00FF380F" w:rsidRPr="0030460F">
        <w:rPr>
          <w:lang w:val="it-IT"/>
        </w:rPr>
        <w:t xml:space="preserve"> PLUMED consortium</w:t>
      </w:r>
      <w:r w:rsidR="00B53B44">
        <w:rPr>
          <w:lang w:val="it-IT"/>
        </w:rPr>
        <w:t xml:space="preserve">, Promoting Transparency and Reproducibility in Enhanced Molecular Simulations. </w:t>
      </w:r>
      <w:r w:rsidR="00B53B44" w:rsidRPr="00B53B44">
        <w:rPr>
          <w:i/>
          <w:iCs/>
          <w:lang w:val="it-IT"/>
        </w:rPr>
        <w:t>Nat. Methods</w:t>
      </w:r>
      <w:r w:rsidR="00FF380F" w:rsidRPr="0030460F">
        <w:rPr>
          <w:lang w:val="it-IT"/>
        </w:rPr>
        <w:t xml:space="preserve"> </w:t>
      </w:r>
      <w:r w:rsidR="00FF380F" w:rsidRPr="00B53B44">
        <w:rPr>
          <w:b/>
          <w:bCs/>
          <w:lang w:val="it-IT"/>
        </w:rPr>
        <w:t>2019</w:t>
      </w:r>
      <w:r w:rsidR="00B53B44" w:rsidRPr="00B53B44">
        <w:rPr>
          <w:lang w:val="it-IT"/>
        </w:rPr>
        <w:t>,</w:t>
      </w:r>
      <w:r w:rsidR="00FF380F" w:rsidRPr="0030460F">
        <w:rPr>
          <w:lang w:val="it-IT"/>
        </w:rPr>
        <w:t xml:space="preserve"> </w:t>
      </w:r>
      <w:r w:rsidR="00FF380F" w:rsidRPr="00B53B44">
        <w:rPr>
          <w:i/>
          <w:iCs/>
        </w:rPr>
        <w:t>16</w:t>
      </w:r>
      <w:r w:rsidR="00FF380F" w:rsidRPr="00720DFB">
        <w:t>, 670-673.</w:t>
      </w:r>
    </w:p>
    <w:p w14:paraId="1DC13D66" w14:textId="5426EE34" w:rsidR="00FF380F" w:rsidRPr="00720DFB" w:rsidRDefault="00F7753B" w:rsidP="00FF380F">
      <w:pPr>
        <w:pStyle w:val="EndNoteBibliography"/>
        <w:spacing w:after="0"/>
        <w:jc w:val="both"/>
      </w:pPr>
      <w:r>
        <w:t>(</w:t>
      </w:r>
      <w:r w:rsidR="00FF380F" w:rsidRPr="00720DFB">
        <w:t>43</w:t>
      </w:r>
      <w:r>
        <w:t xml:space="preserve">) </w:t>
      </w:r>
      <w:r w:rsidR="00FF380F" w:rsidRPr="00720DFB">
        <w:t xml:space="preserve">Bochicchio, A.; Rossetti, G.; Tabarrini, O.; Krauss, S.; Carloni, P., Molecular View of Ligands Specificity for CAG Repeats in Anti-Huntington Therapy. </w:t>
      </w:r>
      <w:r w:rsidR="00FF380F" w:rsidRPr="00720DFB">
        <w:rPr>
          <w:i/>
        </w:rPr>
        <w:t>J</w:t>
      </w:r>
      <w:r w:rsidR="00B53B44">
        <w:rPr>
          <w:i/>
        </w:rPr>
        <w:t>.</w:t>
      </w:r>
      <w:r w:rsidR="00FF380F" w:rsidRPr="00720DFB">
        <w:rPr>
          <w:i/>
        </w:rPr>
        <w:t xml:space="preserve"> Chem</w:t>
      </w:r>
      <w:r w:rsidR="00B53B44">
        <w:rPr>
          <w:i/>
        </w:rPr>
        <w:t>.</w:t>
      </w:r>
      <w:r w:rsidR="00FF380F" w:rsidRPr="00720DFB">
        <w:rPr>
          <w:i/>
        </w:rPr>
        <w:t xml:space="preserve"> Theory Comput</w:t>
      </w:r>
      <w:r w:rsidR="00B53B44">
        <w:rPr>
          <w:i/>
        </w:rPr>
        <w:t>.</w:t>
      </w:r>
      <w:r w:rsidR="00FF380F" w:rsidRPr="00720DFB">
        <w:rPr>
          <w:i/>
        </w:rPr>
        <w:t xml:space="preserve"> </w:t>
      </w:r>
      <w:r w:rsidR="00FF380F" w:rsidRPr="00720DFB">
        <w:rPr>
          <w:b/>
        </w:rPr>
        <w:t>2015</w:t>
      </w:r>
      <w:r w:rsidR="00FF380F" w:rsidRPr="00720DFB">
        <w:t xml:space="preserve">, </w:t>
      </w:r>
      <w:r w:rsidR="00FF380F" w:rsidRPr="00B53B44">
        <w:rPr>
          <w:i/>
          <w:iCs/>
        </w:rPr>
        <w:t>11</w:t>
      </w:r>
      <w:r w:rsidR="00FF380F" w:rsidRPr="00720DFB">
        <w:t>, 4911-4922.</w:t>
      </w:r>
    </w:p>
    <w:p w14:paraId="4FBE562F" w14:textId="3712138D" w:rsidR="00F7753B" w:rsidRDefault="00F7753B" w:rsidP="00B53B44">
      <w:pPr>
        <w:pStyle w:val="EndNoteBibliography"/>
        <w:spacing w:after="0"/>
        <w:jc w:val="both"/>
      </w:pPr>
      <w:r>
        <w:t>(44)</w:t>
      </w:r>
      <w:r w:rsidR="00B53B44">
        <w:t xml:space="preserve"> Marchetti, F.; Capelli, R.; Rizzato, F.; Laio, A.; Colombo, G., The Subtle Trade-Off between Evolutionary and Energetic Constraints in Protein-Protein Interactions. </w:t>
      </w:r>
      <w:r w:rsidR="00B53B44" w:rsidRPr="00043BC7">
        <w:rPr>
          <w:i/>
          <w:iCs/>
        </w:rPr>
        <w:t>J. Phys. Chem. Lett.</w:t>
      </w:r>
      <w:r w:rsidR="00B53B44">
        <w:t xml:space="preserve"> </w:t>
      </w:r>
      <w:r w:rsidR="00B53B44" w:rsidRPr="00B53B44">
        <w:rPr>
          <w:b/>
          <w:bCs/>
        </w:rPr>
        <w:t>2019</w:t>
      </w:r>
      <w:r w:rsidR="00B53B44">
        <w:t xml:space="preserve">, </w:t>
      </w:r>
      <w:r w:rsidR="00B53B44" w:rsidRPr="00B53B44">
        <w:rPr>
          <w:i/>
          <w:iCs/>
        </w:rPr>
        <w:t>10</w:t>
      </w:r>
      <w:r w:rsidR="00B53B44">
        <w:t>, 1489-1497.</w:t>
      </w:r>
    </w:p>
    <w:p w14:paraId="315F3A9D" w14:textId="3A47135C" w:rsidR="00F7753B" w:rsidRDefault="00F7753B" w:rsidP="00B53B44">
      <w:pPr>
        <w:pStyle w:val="EndNoteBibliography"/>
        <w:spacing w:after="0"/>
        <w:jc w:val="both"/>
      </w:pPr>
      <w:r>
        <w:t>(45)</w:t>
      </w:r>
      <w:r w:rsidR="00B53B44">
        <w:t xml:space="preserve"> Peri, C.; Morra, G.; Colombo, G., Surface Energetics and Protein</w:t>
      </w:r>
      <w:r w:rsidR="00DB34CB">
        <w:t xml:space="preserve">-Protein Interactions: Analysis and Mechanistic Implications. </w:t>
      </w:r>
      <w:r w:rsidR="00DB34CB" w:rsidRPr="00DB34CB">
        <w:rPr>
          <w:i/>
          <w:iCs/>
        </w:rPr>
        <w:t>Sci. Rep</w:t>
      </w:r>
      <w:r w:rsidR="00DB34CB">
        <w:t xml:space="preserve">. </w:t>
      </w:r>
      <w:r w:rsidR="00DB34CB" w:rsidRPr="00DB34CB">
        <w:rPr>
          <w:b/>
          <w:bCs/>
        </w:rPr>
        <w:t>2016</w:t>
      </w:r>
      <w:r w:rsidR="00DB34CB">
        <w:t xml:space="preserve">, </w:t>
      </w:r>
      <w:r w:rsidR="00DB34CB" w:rsidRPr="00DB34CB">
        <w:rPr>
          <w:i/>
          <w:iCs/>
        </w:rPr>
        <w:t>6</w:t>
      </w:r>
      <w:r w:rsidR="00DB34CB">
        <w:t>, 24035.</w:t>
      </w:r>
    </w:p>
    <w:p w14:paraId="2A130EED" w14:textId="416DC979" w:rsidR="00FF380F" w:rsidRPr="00720DFB" w:rsidRDefault="00F7753B" w:rsidP="00FF380F">
      <w:pPr>
        <w:pStyle w:val="EndNoteBibliography"/>
        <w:jc w:val="both"/>
      </w:pPr>
      <w:r>
        <w:t>(</w:t>
      </w:r>
      <w:r w:rsidR="00FF380F" w:rsidRPr="00720DFB">
        <w:t>4</w:t>
      </w:r>
      <w:r>
        <w:t xml:space="preserve">6) </w:t>
      </w:r>
      <w:r w:rsidR="00FF380F" w:rsidRPr="00720DFB">
        <w:t xml:space="preserve">Kranjc, A.; Bongarzone, S.; Rossetti, G.; Biarnes, X.; Cavalli, A.; Bolognesi, M. L.; Roberti, M.; Legname, G.; Carloni, P., Docking Ligands on Protein Surfaces: The Case Study of Prion Protein. </w:t>
      </w:r>
      <w:r w:rsidR="00FF380F" w:rsidRPr="00720DFB">
        <w:rPr>
          <w:i/>
        </w:rPr>
        <w:t>J</w:t>
      </w:r>
      <w:r w:rsidR="00B53B44">
        <w:rPr>
          <w:i/>
        </w:rPr>
        <w:t>.</w:t>
      </w:r>
      <w:r w:rsidR="00FF380F" w:rsidRPr="00720DFB">
        <w:rPr>
          <w:i/>
        </w:rPr>
        <w:t xml:space="preserve"> Chem</w:t>
      </w:r>
      <w:r w:rsidR="00B53B44">
        <w:rPr>
          <w:i/>
        </w:rPr>
        <w:t>.</w:t>
      </w:r>
      <w:r w:rsidR="00FF380F" w:rsidRPr="00720DFB">
        <w:rPr>
          <w:i/>
        </w:rPr>
        <w:t xml:space="preserve"> Theory Comput</w:t>
      </w:r>
      <w:r w:rsidR="00B53B44">
        <w:rPr>
          <w:i/>
        </w:rPr>
        <w:t>.</w:t>
      </w:r>
      <w:r w:rsidR="00FF380F" w:rsidRPr="00720DFB">
        <w:rPr>
          <w:i/>
        </w:rPr>
        <w:t xml:space="preserve"> </w:t>
      </w:r>
      <w:r w:rsidR="00FF380F" w:rsidRPr="00720DFB">
        <w:rPr>
          <w:b/>
        </w:rPr>
        <w:t>2009</w:t>
      </w:r>
      <w:r w:rsidR="00FF380F" w:rsidRPr="00720DFB">
        <w:t xml:space="preserve">, </w:t>
      </w:r>
      <w:r w:rsidR="00FF380F" w:rsidRPr="00B53B44">
        <w:rPr>
          <w:i/>
          <w:iCs/>
        </w:rPr>
        <w:t>5</w:t>
      </w:r>
      <w:r w:rsidR="00FF380F" w:rsidRPr="00720DFB">
        <w:t>, 2565-2573.</w:t>
      </w:r>
    </w:p>
    <w:p w14:paraId="38306DB8" w14:textId="77777777" w:rsidR="00FF380F" w:rsidRDefault="00FF380F" w:rsidP="00FF380F">
      <w:pPr>
        <w:pStyle w:val="SNSynopsisTOC"/>
        <w:spacing w:after="240"/>
        <w:rPr>
          <w:sz w:val="16"/>
          <w:szCs w:val="16"/>
        </w:rPr>
      </w:pPr>
    </w:p>
    <w:p w14:paraId="34EDFA98" w14:textId="77777777" w:rsidR="00FF380F" w:rsidRDefault="00FF380F" w:rsidP="00DA172C">
      <w:pPr>
        <w:pStyle w:val="SNSynopsisTOC"/>
        <w:spacing w:after="240"/>
        <w:rPr>
          <w:sz w:val="16"/>
          <w:szCs w:val="16"/>
        </w:rPr>
      </w:pPr>
    </w:p>
    <w:p w14:paraId="28B36F63" w14:textId="77777777" w:rsidR="00FF380F" w:rsidRDefault="00FF380F">
      <w:pPr>
        <w:spacing w:after="0"/>
        <w:jc w:val="left"/>
        <w:rPr>
          <w:sz w:val="16"/>
          <w:szCs w:val="16"/>
        </w:rPr>
      </w:pPr>
      <w:r>
        <w:rPr>
          <w:sz w:val="16"/>
          <w:szCs w:val="16"/>
        </w:rPr>
        <w:br w:type="page"/>
      </w:r>
    </w:p>
    <w:p w14:paraId="06C4FE76" w14:textId="77777777" w:rsidR="00FF380F" w:rsidRDefault="00FF380F" w:rsidP="00D964B6">
      <w:pPr>
        <w:pStyle w:val="SNSynopsisTOC"/>
        <w:spacing w:after="240"/>
        <w:jc w:val="center"/>
        <w:rPr>
          <w:sz w:val="16"/>
          <w:szCs w:val="16"/>
        </w:rPr>
      </w:pPr>
      <w:r>
        <w:rPr>
          <w:rFonts w:ascii="Arno Pro" w:hAnsi="Arno Pro"/>
        </w:rPr>
        <w:lastRenderedPageBreak/>
        <w:t>Table of Contents artwork</w:t>
      </w:r>
    </w:p>
    <w:p w14:paraId="4E62B202" w14:textId="77777777" w:rsidR="00FF380F" w:rsidRPr="000B68C1" w:rsidRDefault="00FF380F" w:rsidP="0045554A">
      <w:pPr>
        <w:pStyle w:val="SNSynopsisTOC"/>
        <w:spacing w:after="240"/>
        <w:jc w:val="center"/>
        <w:rPr>
          <w:sz w:val="16"/>
          <w:szCs w:val="16"/>
        </w:rPr>
      </w:pPr>
      <w:r>
        <w:rPr>
          <w:noProof/>
          <w:sz w:val="16"/>
          <w:szCs w:val="16"/>
        </w:rPr>
        <w:drawing>
          <wp:inline distT="0" distB="0" distL="0" distR="0" wp14:anchorId="65EFE3E2" wp14:editId="3F0649FD">
            <wp:extent cx="4495800" cy="231130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04254" cy="2315648"/>
                    </a:xfrm>
                    <a:prstGeom prst="rect">
                      <a:avLst/>
                    </a:prstGeom>
                    <a:noFill/>
                    <a:ln>
                      <a:noFill/>
                    </a:ln>
                  </pic:spPr>
                </pic:pic>
              </a:graphicData>
            </a:graphic>
          </wp:inline>
        </w:drawing>
      </w:r>
      <w:r>
        <w:rPr>
          <w:sz w:val="16"/>
          <w:szCs w:val="16"/>
        </w:rPr>
        <w:fldChar w:fldCharType="begin"/>
      </w:r>
      <w:r>
        <w:rPr>
          <w:sz w:val="16"/>
          <w:szCs w:val="16"/>
        </w:rPr>
        <w:instrText xml:space="preserve"> ADDIN </w:instrText>
      </w:r>
      <w:r>
        <w:rPr>
          <w:sz w:val="16"/>
          <w:szCs w:val="16"/>
        </w:rPr>
        <w:fldChar w:fldCharType="end"/>
      </w:r>
    </w:p>
    <w:p w14:paraId="3B53D8F5" w14:textId="77777777" w:rsidR="00FF380F" w:rsidRDefault="00FF380F"/>
    <w:sectPr w:rsidR="00FF380F" w:rsidSect="00561902">
      <w:footerReference w:type="even" r:id="rId18"/>
      <w:footerReference w:type="default" r:id="rId19"/>
      <w:pgSz w:w="12240" w:h="15840"/>
      <w:pgMar w:top="1440" w:right="1800" w:bottom="1440" w:left="1800" w:header="708" w:footer="708"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E6A017" w14:textId="77777777" w:rsidR="00C6636B" w:rsidRDefault="00C6636B" w:rsidP="00FF380F">
      <w:pPr>
        <w:spacing w:after="0"/>
      </w:pPr>
      <w:r>
        <w:separator/>
      </w:r>
    </w:p>
  </w:endnote>
  <w:endnote w:type="continuationSeparator" w:id="0">
    <w:p w14:paraId="7125A6BC" w14:textId="77777777" w:rsidR="00C6636B" w:rsidRDefault="00C6636B" w:rsidP="00FF38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Arno Pro">
    <w:altName w:val="Calibri"/>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1F5CE" w14:textId="77777777" w:rsidR="003B4AF3" w:rsidRDefault="00000000">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w:t>
    </w:r>
    <w:r>
      <w:rPr>
        <w:rStyle w:val="ab"/>
      </w:rPr>
      <w:fldChar w:fldCharType="end"/>
    </w:r>
  </w:p>
  <w:p w14:paraId="5AAFAAFD" w14:textId="77777777" w:rsidR="003B4AF3" w:rsidRDefault="00000000">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BFC23" w14:textId="77777777" w:rsidR="003B4AF3" w:rsidRDefault="00000000">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w:t>
    </w:r>
    <w:r>
      <w:rPr>
        <w:rStyle w:val="ab"/>
      </w:rPr>
      <w:fldChar w:fldCharType="end"/>
    </w:r>
  </w:p>
  <w:p w14:paraId="03D49C3E" w14:textId="77777777" w:rsidR="003B4AF3" w:rsidRDefault="00000000">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F0487" w14:textId="77777777" w:rsidR="00C6636B" w:rsidRDefault="00C6636B" w:rsidP="00FF380F">
      <w:pPr>
        <w:spacing w:after="0"/>
      </w:pPr>
      <w:r>
        <w:separator/>
      </w:r>
    </w:p>
  </w:footnote>
  <w:footnote w:type="continuationSeparator" w:id="0">
    <w:p w14:paraId="3C3B7F84" w14:textId="77777777" w:rsidR="00C6636B" w:rsidRDefault="00C6636B" w:rsidP="00FF380F">
      <w:pPr>
        <w:spacing w:after="0"/>
      </w:pPr>
      <w:r>
        <w:continuationSeparator/>
      </w:r>
    </w:p>
  </w:footnote>
  <w:footnote w:id="1">
    <w:p w14:paraId="64D69BDD" w14:textId="77777777" w:rsidR="00FF380F" w:rsidRPr="00460214" w:rsidRDefault="00FF380F" w:rsidP="002D5B65">
      <w:pPr>
        <w:pStyle w:val="a6"/>
        <w:rPr>
          <w:lang w:eastAsia="zh-CN"/>
        </w:rPr>
      </w:pPr>
      <w:r>
        <w:rPr>
          <w:rStyle w:val="ae"/>
        </w:rPr>
        <w:footnoteRef/>
      </w:r>
      <w:r w:rsidRPr="00A117E7">
        <w:rPr>
          <w:szCs w:val="24"/>
        </w:rPr>
        <w:t xml:space="preserve"> It differs from the conditions of the X-ray structure where the ligand to protein </w:t>
      </w:r>
      <w:r>
        <w:rPr>
          <w:szCs w:val="24"/>
        </w:rPr>
        <w:t xml:space="preserve">stoichiometric ratio </w:t>
      </w:r>
      <w:r w:rsidRPr="00A117E7">
        <w:rPr>
          <w:szCs w:val="24"/>
        </w:rPr>
        <w:t>is 2 to 1</w:t>
      </w:r>
      <w:r w:rsidRPr="00A117E7">
        <w:rPr>
          <w:szCs w:val="24"/>
          <w:vertAlign w:val="superscript"/>
        </w:rPr>
        <w:t>11</w:t>
      </w:r>
      <w:r w:rsidRPr="00A117E7">
        <w:rPr>
          <w:szCs w:val="24"/>
        </w:rPr>
        <w:t>.</w:t>
      </w:r>
    </w:p>
  </w:footnote>
  <w:footnote w:id="2">
    <w:p w14:paraId="182666AC" w14:textId="77777777" w:rsidR="00FF380F" w:rsidRDefault="00FF380F" w:rsidP="00633285">
      <w:pPr>
        <w:pStyle w:val="a6"/>
      </w:pPr>
      <w:r>
        <w:rPr>
          <w:rStyle w:val="ae"/>
        </w:rPr>
        <w:footnoteRef/>
      </w:r>
      <w:r>
        <w:t xml:space="preserve"> </w:t>
      </w:r>
      <w:r w:rsidRPr="00A117E7">
        <w:rPr>
          <w:rFonts w:ascii="Times New Roman" w:hAnsi="Times New Roman"/>
          <w:szCs w:val="24"/>
        </w:rPr>
        <w:t>The temperature is set to 293 K and N</w:t>
      </w:r>
      <w:r w:rsidRPr="00A117E7">
        <w:rPr>
          <w:rFonts w:ascii="Times New Roman" w:hAnsi="Times New Roman"/>
          <w:szCs w:val="24"/>
          <w:vertAlign w:val="subscript"/>
        </w:rPr>
        <w:t>ε</w:t>
      </w:r>
      <w:r w:rsidRPr="00A117E7">
        <w:rPr>
          <w:rFonts w:ascii="Times New Roman" w:hAnsi="Times New Roman"/>
          <w:szCs w:val="24"/>
        </w:rPr>
        <w:t xml:space="preserve"> is considered deprotonated, as expected at pH 8.0.</w:t>
      </w:r>
    </w:p>
  </w:footnote>
  <w:footnote w:id="3">
    <w:p w14:paraId="143D91DB" w14:textId="77777777" w:rsidR="00FF380F" w:rsidRDefault="00FF380F">
      <w:pPr>
        <w:pStyle w:val="a6"/>
        <w:rPr>
          <w:lang w:eastAsia="zh-CN"/>
        </w:rPr>
      </w:pPr>
      <w:r>
        <w:rPr>
          <w:rStyle w:val="ae"/>
        </w:rPr>
        <w:footnoteRef/>
      </w:r>
      <w:r>
        <w:t xml:space="preserve"> </w:t>
      </w:r>
      <w:r w:rsidRPr="00360C62">
        <w:t>The presence of the protein transmembrane domain (absent in the X-ray structure and in our simulations) may significantly affect the free energy landscape of the region around minimum 4, as the ligands bind close to the latter.</w:t>
      </w:r>
    </w:p>
  </w:footnote>
  <w:footnote w:id="4">
    <w:p w14:paraId="191128F9" w14:textId="77777777" w:rsidR="00FF380F" w:rsidRDefault="00FF380F">
      <w:pPr>
        <w:pStyle w:val="a6"/>
        <w:rPr>
          <w:lang w:eastAsia="zh-CN"/>
        </w:rPr>
      </w:pPr>
      <w:r>
        <w:rPr>
          <w:rStyle w:val="ae"/>
        </w:rPr>
        <w:footnoteRef/>
      </w:r>
      <w:r>
        <w:t xml:space="preserve"> </w:t>
      </w:r>
      <w:r w:rsidRPr="00CD4A5E">
        <w:t xml:space="preserve">As minimum 4 for </w:t>
      </w:r>
      <w:r w:rsidRPr="00CD4A5E">
        <w:rPr>
          <w:b/>
          <w:bCs/>
        </w:rPr>
        <w:t>I</w:t>
      </w:r>
      <w:r w:rsidRPr="00CD4A5E">
        <w:t xml:space="preserve"> at </w:t>
      </w:r>
      <w:r>
        <w:t>293</w:t>
      </w:r>
      <w:r w:rsidRPr="00CD4A5E">
        <w:t xml:space="preserve"> K, the poses of minima 5 and 6 are expected to be affected by the presence of the transmembrane domain of mNT absent in the model.</w:t>
      </w:r>
    </w:p>
  </w:footnote>
  <w:footnote w:id="5">
    <w:p w14:paraId="425D8497" w14:textId="77777777" w:rsidR="00FF380F" w:rsidRDefault="00FF380F">
      <w:pPr>
        <w:pStyle w:val="a6"/>
        <w:rPr>
          <w:lang w:eastAsia="zh-CN"/>
        </w:rPr>
      </w:pPr>
      <w:r>
        <w:rPr>
          <w:rStyle w:val="ae"/>
        </w:rPr>
        <w:footnoteRef/>
      </w:r>
      <w:r>
        <w:t xml:space="preserve"> </w:t>
      </w:r>
      <w:r w:rsidRPr="00FF09C4">
        <w:t>As in the previous cases, the two poses will be affected by the transmembrane domain absent in the calculations.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0" w15:restartNumberingAfterBreak="0">
    <w:nsid w:val="498B2664"/>
    <w:multiLevelType w:val="hybridMultilevel"/>
    <w:tmpl w:val="F4A877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F84521F"/>
    <w:multiLevelType w:val="hybridMultilevel"/>
    <w:tmpl w:val="6F8E0A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00D6671"/>
    <w:multiLevelType w:val="multilevel"/>
    <w:tmpl w:val="A686013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ascii="Times New Roman" w:hAnsi="Times New Roman" w:hint="default"/>
        <w:b/>
      </w:rPr>
    </w:lvl>
    <w:lvl w:ilvl="2">
      <w:start w:val="1"/>
      <w:numFmt w:val="decimal"/>
      <w:isLgl/>
      <w:lvlText w:val="%1.%2.%3"/>
      <w:lvlJc w:val="left"/>
      <w:pPr>
        <w:ind w:left="720" w:hanging="720"/>
      </w:pPr>
      <w:rPr>
        <w:rFonts w:ascii="Times New Roman" w:hAnsi="Times New Roman" w:hint="default"/>
        <w:b/>
      </w:rPr>
    </w:lvl>
    <w:lvl w:ilvl="3">
      <w:start w:val="1"/>
      <w:numFmt w:val="decimal"/>
      <w:isLgl/>
      <w:lvlText w:val="%1.%2.%3.%4"/>
      <w:lvlJc w:val="left"/>
      <w:pPr>
        <w:ind w:left="720" w:hanging="720"/>
      </w:pPr>
      <w:rPr>
        <w:rFonts w:ascii="Times New Roman" w:hAnsi="Times New Roman" w:hint="default"/>
        <w:b/>
      </w:rPr>
    </w:lvl>
    <w:lvl w:ilvl="4">
      <w:start w:val="1"/>
      <w:numFmt w:val="decimal"/>
      <w:isLgl/>
      <w:lvlText w:val="%1.%2.%3.%4.%5"/>
      <w:lvlJc w:val="left"/>
      <w:pPr>
        <w:ind w:left="1080" w:hanging="1080"/>
      </w:pPr>
      <w:rPr>
        <w:rFonts w:ascii="Times New Roman" w:hAnsi="Times New Roman" w:hint="default"/>
        <w:b/>
      </w:rPr>
    </w:lvl>
    <w:lvl w:ilvl="5">
      <w:start w:val="1"/>
      <w:numFmt w:val="decimal"/>
      <w:isLgl/>
      <w:lvlText w:val="%1.%2.%3.%4.%5.%6"/>
      <w:lvlJc w:val="left"/>
      <w:pPr>
        <w:ind w:left="1080" w:hanging="1080"/>
      </w:pPr>
      <w:rPr>
        <w:rFonts w:ascii="Times New Roman" w:hAnsi="Times New Roman" w:hint="default"/>
        <w:b/>
      </w:rPr>
    </w:lvl>
    <w:lvl w:ilvl="6">
      <w:start w:val="1"/>
      <w:numFmt w:val="decimal"/>
      <w:isLgl/>
      <w:lvlText w:val="%1.%2.%3.%4.%5.%6.%7"/>
      <w:lvlJc w:val="left"/>
      <w:pPr>
        <w:ind w:left="1440" w:hanging="1440"/>
      </w:pPr>
      <w:rPr>
        <w:rFonts w:ascii="Times New Roman" w:hAnsi="Times New Roman" w:hint="default"/>
        <w:b/>
      </w:rPr>
    </w:lvl>
    <w:lvl w:ilvl="7">
      <w:start w:val="1"/>
      <w:numFmt w:val="decimal"/>
      <w:isLgl/>
      <w:lvlText w:val="%1.%2.%3.%4.%5.%6.%7.%8"/>
      <w:lvlJc w:val="left"/>
      <w:pPr>
        <w:ind w:left="1440" w:hanging="1440"/>
      </w:pPr>
      <w:rPr>
        <w:rFonts w:ascii="Times New Roman" w:hAnsi="Times New Roman" w:hint="default"/>
        <w:b/>
      </w:rPr>
    </w:lvl>
    <w:lvl w:ilvl="8">
      <w:start w:val="1"/>
      <w:numFmt w:val="decimal"/>
      <w:isLgl/>
      <w:lvlText w:val="%1.%2.%3.%4.%5.%6.%7.%8.%9"/>
      <w:lvlJc w:val="left"/>
      <w:pPr>
        <w:ind w:left="1800" w:hanging="1800"/>
      </w:pPr>
      <w:rPr>
        <w:rFonts w:ascii="Times New Roman" w:hAnsi="Times New Roman" w:hint="default"/>
        <w:b/>
      </w:rPr>
    </w:lvl>
  </w:abstractNum>
  <w:abstractNum w:abstractNumId="13" w15:restartNumberingAfterBreak="0">
    <w:nsid w:val="728E0461"/>
    <w:multiLevelType w:val="hybridMultilevel"/>
    <w:tmpl w:val="4376577C"/>
    <w:lvl w:ilvl="0" w:tplc="85628986">
      <w:start w:val="1"/>
      <w:numFmt w:val="decimal"/>
      <w:lvlText w:val="%1."/>
      <w:lvlJc w:val="left"/>
      <w:pPr>
        <w:ind w:left="360" w:hanging="360"/>
      </w:pPr>
      <w:rPr>
        <w:rFonts w:hint="default"/>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46F0E2B"/>
    <w:multiLevelType w:val="hybridMultilevel"/>
    <w:tmpl w:val="736200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76275879">
    <w:abstractNumId w:val="8"/>
  </w:num>
  <w:num w:numId="2" w16cid:durableId="269701384">
    <w:abstractNumId w:val="6"/>
  </w:num>
  <w:num w:numId="3" w16cid:durableId="1459028481">
    <w:abstractNumId w:val="9"/>
  </w:num>
  <w:num w:numId="4" w16cid:durableId="197669879">
    <w:abstractNumId w:val="7"/>
  </w:num>
  <w:num w:numId="5" w16cid:durableId="1162310350">
    <w:abstractNumId w:val="5"/>
  </w:num>
  <w:num w:numId="6" w16cid:durableId="159202081">
    <w:abstractNumId w:val="4"/>
  </w:num>
  <w:num w:numId="7" w16cid:durableId="662122249">
    <w:abstractNumId w:val="3"/>
  </w:num>
  <w:num w:numId="8" w16cid:durableId="740059596">
    <w:abstractNumId w:val="1"/>
  </w:num>
  <w:num w:numId="9" w16cid:durableId="259532684">
    <w:abstractNumId w:val="0"/>
  </w:num>
  <w:num w:numId="10" w16cid:durableId="1343821722">
    <w:abstractNumId w:val="2"/>
  </w:num>
  <w:num w:numId="11" w16cid:durableId="342980264">
    <w:abstractNumId w:val="13"/>
  </w:num>
  <w:num w:numId="12" w16cid:durableId="1669668772">
    <w:abstractNumId w:val="12"/>
  </w:num>
  <w:num w:numId="13" w16cid:durableId="162085791">
    <w:abstractNumId w:val="14"/>
  </w:num>
  <w:num w:numId="14" w16cid:durableId="1925793539">
    <w:abstractNumId w:val="10"/>
  </w:num>
  <w:num w:numId="15" w16cid:durableId="34355387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FF380F"/>
    <w:rsid w:val="00043BC7"/>
    <w:rsid w:val="0039531A"/>
    <w:rsid w:val="004026EA"/>
    <w:rsid w:val="004441F4"/>
    <w:rsid w:val="00476D70"/>
    <w:rsid w:val="00561902"/>
    <w:rsid w:val="00746778"/>
    <w:rsid w:val="00757E1C"/>
    <w:rsid w:val="0081651D"/>
    <w:rsid w:val="008B0452"/>
    <w:rsid w:val="00A30D7A"/>
    <w:rsid w:val="00B53B44"/>
    <w:rsid w:val="00BF16C0"/>
    <w:rsid w:val="00C6636B"/>
    <w:rsid w:val="00CE3638"/>
    <w:rsid w:val="00D153A2"/>
    <w:rsid w:val="00DB34CB"/>
    <w:rsid w:val="00F7753B"/>
    <w:rsid w:val="00FF38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AEC36"/>
  <w15:chartTrackingRefBased/>
  <w15:docId w15:val="{456BD47B-2CAF-413E-A5C4-A767BD752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380F"/>
    <w:pPr>
      <w:spacing w:after="200" w:line="240" w:lineRule="auto"/>
      <w:jc w:val="both"/>
    </w:pPr>
    <w:rPr>
      <w:rFonts w:ascii="Times" w:hAnsi="Times" w:cs="Times New Roman"/>
      <w:sz w:val="24"/>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sid w:val="00FF380F"/>
    <w:rPr>
      <w:color w:val="800080"/>
      <w:u w:val="single"/>
    </w:rPr>
  </w:style>
  <w:style w:type="paragraph" w:styleId="a4">
    <w:name w:val="Body Text"/>
    <w:basedOn w:val="a"/>
    <w:link w:val="a5"/>
    <w:rsid w:val="00FF380F"/>
    <w:pPr>
      <w:jc w:val="center"/>
    </w:pPr>
    <w:rPr>
      <w:b/>
      <w:sz w:val="40"/>
    </w:rPr>
  </w:style>
  <w:style w:type="character" w:customStyle="1" w:styleId="a5">
    <w:name w:val="正文文本 字符"/>
    <w:basedOn w:val="a0"/>
    <w:link w:val="a4"/>
    <w:rsid w:val="00FF380F"/>
    <w:rPr>
      <w:rFonts w:ascii="Times" w:hAnsi="Times" w:cs="Times New Roman"/>
      <w:b/>
      <w:sz w:val="40"/>
      <w:szCs w:val="20"/>
      <w:lang w:eastAsia="en-US"/>
    </w:rPr>
  </w:style>
  <w:style w:type="paragraph" w:styleId="a6">
    <w:name w:val="footnote text"/>
    <w:basedOn w:val="a"/>
    <w:next w:val="TFReferencesSection"/>
    <w:link w:val="a7"/>
    <w:uiPriority w:val="99"/>
    <w:semiHidden/>
    <w:rsid w:val="00FF380F"/>
  </w:style>
  <w:style w:type="character" w:customStyle="1" w:styleId="a7">
    <w:name w:val="脚注文本 字符"/>
    <w:basedOn w:val="a0"/>
    <w:link w:val="a6"/>
    <w:uiPriority w:val="99"/>
    <w:semiHidden/>
    <w:rsid w:val="00FF380F"/>
    <w:rPr>
      <w:rFonts w:ascii="Times" w:hAnsi="Times" w:cs="Times New Roman"/>
      <w:sz w:val="24"/>
      <w:szCs w:val="20"/>
      <w:lang w:eastAsia="en-US"/>
    </w:rPr>
  </w:style>
  <w:style w:type="paragraph" w:customStyle="1" w:styleId="TFReferencesSection">
    <w:name w:val="TF_References_Section"/>
    <w:basedOn w:val="a"/>
    <w:rsid w:val="00FF380F"/>
    <w:pPr>
      <w:spacing w:line="480" w:lineRule="auto"/>
      <w:ind w:firstLine="187"/>
    </w:pPr>
  </w:style>
  <w:style w:type="paragraph" w:customStyle="1" w:styleId="TAMainText">
    <w:name w:val="TA_Main_Text"/>
    <w:basedOn w:val="a"/>
    <w:rsid w:val="00FF380F"/>
    <w:pPr>
      <w:spacing w:after="0" w:line="480" w:lineRule="auto"/>
      <w:ind w:firstLine="202"/>
    </w:pPr>
  </w:style>
  <w:style w:type="paragraph" w:customStyle="1" w:styleId="BATitle">
    <w:name w:val="BA_Title"/>
    <w:basedOn w:val="a"/>
    <w:next w:val="BBAuthorName"/>
    <w:rsid w:val="00FF380F"/>
    <w:pPr>
      <w:spacing w:before="720" w:after="360" w:line="480" w:lineRule="auto"/>
      <w:jc w:val="center"/>
    </w:pPr>
    <w:rPr>
      <w:rFonts w:ascii="Times New Roman" w:hAnsi="Times New Roman"/>
      <w:sz w:val="44"/>
    </w:rPr>
  </w:style>
  <w:style w:type="paragraph" w:customStyle="1" w:styleId="BBAuthorName">
    <w:name w:val="BB_Author_Name"/>
    <w:basedOn w:val="a"/>
    <w:next w:val="BCAuthorAddress"/>
    <w:rsid w:val="00FF380F"/>
    <w:pPr>
      <w:spacing w:after="240" w:line="480" w:lineRule="auto"/>
      <w:jc w:val="center"/>
    </w:pPr>
    <w:rPr>
      <w:i/>
    </w:rPr>
  </w:style>
  <w:style w:type="paragraph" w:customStyle="1" w:styleId="BCAuthorAddress">
    <w:name w:val="BC_Author_Address"/>
    <w:basedOn w:val="a"/>
    <w:next w:val="BIEmailAddress"/>
    <w:rsid w:val="00FF380F"/>
    <w:pPr>
      <w:spacing w:after="240" w:line="480" w:lineRule="auto"/>
      <w:jc w:val="center"/>
    </w:pPr>
  </w:style>
  <w:style w:type="paragraph" w:customStyle="1" w:styleId="BIEmailAddress">
    <w:name w:val="BI_Email_Address"/>
    <w:basedOn w:val="a"/>
    <w:next w:val="AIReceivedDate"/>
    <w:rsid w:val="00FF380F"/>
    <w:pPr>
      <w:spacing w:line="480" w:lineRule="auto"/>
    </w:pPr>
  </w:style>
  <w:style w:type="paragraph" w:customStyle="1" w:styleId="AIReceivedDate">
    <w:name w:val="AI_Received_Date"/>
    <w:basedOn w:val="a"/>
    <w:next w:val="BDAbstract"/>
    <w:rsid w:val="00FF380F"/>
    <w:pPr>
      <w:spacing w:after="240" w:line="480" w:lineRule="auto"/>
    </w:pPr>
    <w:rPr>
      <w:b/>
    </w:rPr>
  </w:style>
  <w:style w:type="paragraph" w:customStyle="1" w:styleId="BDAbstract">
    <w:name w:val="BD_Abstract"/>
    <w:basedOn w:val="a"/>
    <w:next w:val="TAMainText"/>
    <w:rsid w:val="00FF380F"/>
    <w:pPr>
      <w:spacing w:before="360" w:after="360" w:line="480" w:lineRule="auto"/>
    </w:pPr>
  </w:style>
  <w:style w:type="paragraph" w:customStyle="1" w:styleId="TDAcknowledgments">
    <w:name w:val="TD_Acknowledgments"/>
    <w:basedOn w:val="a"/>
    <w:next w:val="a"/>
    <w:rsid w:val="00FF380F"/>
    <w:pPr>
      <w:spacing w:before="200" w:line="480" w:lineRule="auto"/>
      <w:ind w:firstLine="202"/>
    </w:pPr>
  </w:style>
  <w:style w:type="paragraph" w:customStyle="1" w:styleId="TESupportingInformation">
    <w:name w:val="TE_Supporting_Information"/>
    <w:basedOn w:val="a"/>
    <w:next w:val="a"/>
    <w:rsid w:val="00FF380F"/>
    <w:pPr>
      <w:spacing w:line="480" w:lineRule="auto"/>
      <w:ind w:firstLine="187"/>
    </w:pPr>
  </w:style>
  <w:style w:type="paragraph" w:customStyle="1" w:styleId="VCSchemeTitle">
    <w:name w:val="VC_Scheme_Title"/>
    <w:basedOn w:val="a"/>
    <w:next w:val="a"/>
    <w:rsid w:val="00FF380F"/>
    <w:pPr>
      <w:spacing w:line="480" w:lineRule="auto"/>
    </w:pPr>
  </w:style>
  <w:style w:type="paragraph" w:customStyle="1" w:styleId="VDTableTitle">
    <w:name w:val="VD_Table_Title"/>
    <w:basedOn w:val="a"/>
    <w:next w:val="a"/>
    <w:rsid w:val="00FF380F"/>
    <w:pPr>
      <w:spacing w:line="480" w:lineRule="auto"/>
    </w:pPr>
  </w:style>
  <w:style w:type="paragraph" w:customStyle="1" w:styleId="VAFigureCaption">
    <w:name w:val="VA_Figure_Caption"/>
    <w:basedOn w:val="a"/>
    <w:next w:val="a"/>
    <w:link w:val="VAFigureCaption0"/>
    <w:rsid w:val="00FF380F"/>
    <w:pPr>
      <w:spacing w:line="480" w:lineRule="auto"/>
    </w:pPr>
  </w:style>
  <w:style w:type="paragraph" w:customStyle="1" w:styleId="VBChartTitle">
    <w:name w:val="VB_Chart_Title"/>
    <w:basedOn w:val="a"/>
    <w:next w:val="a"/>
    <w:rsid w:val="00FF380F"/>
    <w:pPr>
      <w:spacing w:line="480" w:lineRule="auto"/>
    </w:pPr>
  </w:style>
  <w:style w:type="paragraph" w:customStyle="1" w:styleId="FETableFootnote">
    <w:name w:val="FE_Table_Footnote"/>
    <w:basedOn w:val="a"/>
    <w:next w:val="a"/>
    <w:rsid w:val="00FF380F"/>
    <w:pPr>
      <w:ind w:firstLine="187"/>
    </w:pPr>
  </w:style>
  <w:style w:type="paragraph" w:customStyle="1" w:styleId="FCChartFootnote">
    <w:name w:val="FC_Chart_Footnote"/>
    <w:basedOn w:val="a"/>
    <w:next w:val="a"/>
    <w:rsid w:val="00FF380F"/>
    <w:pPr>
      <w:ind w:firstLine="187"/>
    </w:pPr>
  </w:style>
  <w:style w:type="paragraph" w:customStyle="1" w:styleId="FDSchemeFootnote">
    <w:name w:val="FD_Scheme_Footnote"/>
    <w:basedOn w:val="a"/>
    <w:next w:val="a"/>
    <w:rsid w:val="00FF380F"/>
    <w:pPr>
      <w:ind w:firstLine="187"/>
    </w:pPr>
  </w:style>
  <w:style w:type="paragraph" w:customStyle="1" w:styleId="TCTableBody">
    <w:name w:val="TC_Table_Body"/>
    <w:basedOn w:val="a"/>
    <w:rsid w:val="00FF380F"/>
  </w:style>
  <w:style w:type="paragraph" w:customStyle="1" w:styleId="AFTitleRunningHead">
    <w:name w:val="AF_Title_Running_Head"/>
    <w:basedOn w:val="a"/>
    <w:next w:val="TAMainText"/>
    <w:rsid w:val="00FF380F"/>
    <w:pPr>
      <w:spacing w:line="480" w:lineRule="auto"/>
    </w:pPr>
  </w:style>
  <w:style w:type="paragraph" w:customStyle="1" w:styleId="BEAuthorBiography">
    <w:name w:val="BE_Author_Biography"/>
    <w:basedOn w:val="a"/>
    <w:rsid w:val="00FF380F"/>
    <w:pPr>
      <w:spacing w:line="480" w:lineRule="auto"/>
    </w:pPr>
  </w:style>
  <w:style w:type="paragraph" w:customStyle="1" w:styleId="FACorrespondingAuthorFootnote">
    <w:name w:val="FA_Corresponding_Author_Footnote"/>
    <w:basedOn w:val="a"/>
    <w:next w:val="TAMainText"/>
    <w:rsid w:val="00FF380F"/>
    <w:pPr>
      <w:spacing w:line="480" w:lineRule="auto"/>
    </w:pPr>
  </w:style>
  <w:style w:type="paragraph" w:customStyle="1" w:styleId="SNSynopsisTOC">
    <w:name w:val="SN_Synopsis_TOC"/>
    <w:basedOn w:val="a"/>
    <w:rsid w:val="00FF380F"/>
    <w:pPr>
      <w:spacing w:line="480" w:lineRule="auto"/>
    </w:pPr>
  </w:style>
  <w:style w:type="character" w:styleId="a8">
    <w:name w:val="Hyperlink"/>
    <w:rsid w:val="00FF380F"/>
    <w:rPr>
      <w:color w:val="0000FF"/>
      <w:u w:val="single"/>
    </w:rPr>
  </w:style>
  <w:style w:type="paragraph" w:styleId="a9">
    <w:name w:val="footer"/>
    <w:basedOn w:val="a"/>
    <w:link w:val="aa"/>
    <w:rsid w:val="00FF380F"/>
    <w:pPr>
      <w:tabs>
        <w:tab w:val="center" w:pos="4320"/>
        <w:tab w:val="right" w:pos="8640"/>
      </w:tabs>
    </w:pPr>
  </w:style>
  <w:style w:type="character" w:customStyle="1" w:styleId="aa">
    <w:name w:val="页脚 字符"/>
    <w:basedOn w:val="a0"/>
    <w:link w:val="a9"/>
    <w:rsid w:val="00FF380F"/>
    <w:rPr>
      <w:rFonts w:ascii="Times" w:hAnsi="Times" w:cs="Times New Roman"/>
      <w:sz w:val="24"/>
      <w:szCs w:val="20"/>
      <w:lang w:eastAsia="en-US"/>
    </w:rPr>
  </w:style>
  <w:style w:type="paragraph" w:customStyle="1" w:styleId="BGKeywords">
    <w:name w:val="BG_Keywords"/>
    <w:basedOn w:val="a"/>
    <w:rsid w:val="00FF380F"/>
    <w:pPr>
      <w:spacing w:line="480" w:lineRule="auto"/>
    </w:pPr>
  </w:style>
  <w:style w:type="paragraph" w:customStyle="1" w:styleId="BHBriefs">
    <w:name w:val="BH_Briefs"/>
    <w:basedOn w:val="a"/>
    <w:rsid w:val="00FF380F"/>
    <w:pPr>
      <w:spacing w:line="480" w:lineRule="auto"/>
    </w:pPr>
  </w:style>
  <w:style w:type="character" w:styleId="ab">
    <w:name w:val="page number"/>
    <w:basedOn w:val="a0"/>
    <w:rsid w:val="00FF380F"/>
  </w:style>
  <w:style w:type="paragraph" w:styleId="ac">
    <w:name w:val="Balloon Text"/>
    <w:basedOn w:val="a"/>
    <w:link w:val="ad"/>
    <w:semiHidden/>
    <w:rsid w:val="00FF380F"/>
    <w:rPr>
      <w:rFonts w:ascii="Tahoma" w:hAnsi="Tahoma" w:cs="Tahoma"/>
      <w:sz w:val="16"/>
      <w:szCs w:val="16"/>
    </w:rPr>
  </w:style>
  <w:style w:type="character" w:customStyle="1" w:styleId="ad">
    <w:name w:val="批注框文本 字符"/>
    <w:basedOn w:val="a0"/>
    <w:link w:val="ac"/>
    <w:semiHidden/>
    <w:rsid w:val="00FF380F"/>
    <w:rPr>
      <w:rFonts w:ascii="Tahoma" w:hAnsi="Tahoma" w:cs="Tahoma"/>
      <w:sz w:val="16"/>
      <w:szCs w:val="16"/>
      <w:lang w:eastAsia="en-US"/>
    </w:rPr>
  </w:style>
  <w:style w:type="paragraph" w:customStyle="1" w:styleId="StyleFACorrespondingAuthorFootnote7pt">
    <w:name w:val="Style FA_Corresponding_Author_Footnote + 7 pt"/>
    <w:basedOn w:val="a"/>
    <w:next w:val="BGKeywords"/>
    <w:link w:val="StyleFACorrespondingAuthorFootnote7ptChar"/>
    <w:autoRedefine/>
    <w:rsid w:val="00FF380F"/>
    <w:pPr>
      <w:spacing w:after="240" w:line="480" w:lineRule="auto"/>
    </w:pPr>
    <w:rPr>
      <w:rFonts w:ascii="Times New Roman" w:hAnsi="Times New Roman"/>
      <w:kern w:val="20"/>
      <w:szCs w:val="24"/>
    </w:rPr>
  </w:style>
  <w:style w:type="character" w:customStyle="1" w:styleId="StyleFACorrespondingAuthorFootnote7ptChar">
    <w:name w:val="Style FA_Corresponding_Author_Footnote + 7 pt Char"/>
    <w:link w:val="StyleFACorrespondingAuthorFootnote7pt"/>
    <w:rsid w:val="00FF380F"/>
    <w:rPr>
      <w:rFonts w:ascii="Times New Roman" w:hAnsi="Times New Roman" w:cs="Times New Roman"/>
      <w:kern w:val="20"/>
      <w:sz w:val="24"/>
      <w:szCs w:val="24"/>
      <w:lang w:eastAsia="en-US"/>
    </w:rPr>
  </w:style>
  <w:style w:type="paragraph" w:customStyle="1" w:styleId="FAAuthorInfoSubtitle">
    <w:name w:val="FA_Author_Info_Subtitle"/>
    <w:basedOn w:val="a"/>
    <w:link w:val="FAAuthorInfoSubtitleChar"/>
    <w:autoRedefine/>
    <w:rsid w:val="00FF380F"/>
    <w:pPr>
      <w:spacing w:before="120" w:after="60" w:line="480" w:lineRule="auto"/>
      <w:jc w:val="left"/>
    </w:pPr>
    <w:rPr>
      <w:b/>
    </w:rPr>
  </w:style>
  <w:style w:type="character" w:customStyle="1" w:styleId="FAAuthorInfoSubtitleChar">
    <w:name w:val="FA_Author_Info_Subtitle Char"/>
    <w:link w:val="FAAuthorInfoSubtitle"/>
    <w:rsid w:val="00FF380F"/>
    <w:rPr>
      <w:rFonts w:ascii="Times" w:hAnsi="Times" w:cs="Times New Roman"/>
      <w:b/>
      <w:sz w:val="24"/>
      <w:szCs w:val="20"/>
      <w:lang w:eastAsia="en-US"/>
    </w:rPr>
  </w:style>
  <w:style w:type="paragraph" w:customStyle="1" w:styleId="Default">
    <w:name w:val="Default"/>
    <w:rsid w:val="00FF380F"/>
    <w:pPr>
      <w:autoSpaceDE w:val="0"/>
      <w:autoSpaceDN w:val="0"/>
      <w:adjustRightInd w:val="0"/>
      <w:spacing w:after="0" w:line="240" w:lineRule="auto"/>
    </w:pPr>
    <w:rPr>
      <w:rFonts w:ascii="Symbol" w:hAnsi="Symbol" w:cs="Symbol"/>
      <w:color w:val="000000"/>
      <w:sz w:val="24"/>
      <w:szCs w:val="24"/>
      <w:lang w:eastAsia="en-US"/>
    </w:rPr>
  </w:style>
  <w:style w:type="character" w:styleId="ae">
    <w:name w:val="footnote reference"/>
    <w:uiPriority w:val="99"/>
    <w:semiHidden/>
    <w:unhideWhenUsed/>
    <w:rsid w:val="00FF380F"/>
    <w:rPr>
      <w:vertAlign w:val="superscript"/>
    </w:rPr>
  </w:style>
  <w:style w:type="paragraph" w:customStyle="1" w:styleId="EndNoteBibliographyTitle">
    <w:name w:val="EndNote Bibliography Title"/>
    <w:basedOn w:val="a"/>
    <w:link w:val="EndNoteBibliographyTitle0"/>
    <w:rsid w:val="00FF380F"/>
    <w:pPr>
      <w:spacing w:after="0"/>
      <w:jc w:val="center"/>
    </w:pPr>
    <w:rPr>
      <w:rFonts w:cs="Times"/>
      <w:noProof/>
    </w:rPr>
  </w:style>
  <w:style w:type="character" w:customStyle="1" w:styleId="VAFigureCaption0">
    <w:name w:val="VA_Figure_Caption 字符"/>
    <w:basedOn w:val="a0"/>
    <w:link w:val="VAFigureCaption"/>
    <w:rsid w:val="00FF380F"/>
    <w:rPr>
      <w:rFonts w:ascii="Times" w:hAnsi="Times" w:cs="Times New Roman"/>
      <w:sz w:val="24"/>
      <w:szCs w:val="20"/>
      <w:lang w:eastAsia="en-US"/>
    </w:rPr>
  </w:style>
  <w:style w:type="character" w:customStyle="1" w:styleId="EndNoteBibliographyTitle0">
    <w:name w:val="EndNote Bibliography Title 字符"/>
    <w:basedOn w:val="VAFigureCaption0"/>
    <w:link w:val="EndNoteBibliographyTitle"/>
    <w:rsid w:val="00FF380F"/>
    <w:rPr>
      <w:rFonts w:ascii="Times" w:hAnsi="Times" w:cs="Times"/>
      <w:noProof/>
      <w:sz w:val="24"/>
      <w:szCs w:val="20"/>
      <w:lang w:eastAsia="en-US"/>
    </w:rPr>
  </w:style>
  <w:style w:type="paragraph" w:customStyle="1" w:styleId="EndNoteBibliography">
    <w:name w:val="EndNote Bibliography"/>
    <w:basedOn w:val="a"/>
    <w:link w:val="EndNoteBibliography0"/>
    <w:rsid w:val="00FF380F"/>
    <w:pPr>
      <w:jc w:val="left"/>
    </w:pPr>
    <w:rPr>
      <w:rFonts w:cs="Times"/>
      <w:noProof/>
    </w:rPr>
  </w:style>
  <w:style w:type="character" w:customStyle="1" w:styleId="EndNoteBibliography0">
    <w:name w:val="EndNote Bibliography 字符"/>
    <w:basedOn w:val="VAFigureCaption0"/>
    <w:link w:val="EndNoteBibliography"/>
    <w:rsid w:val="00FF380F"/>
    <w:rPr>
      <w:rFonts w:ascii="Times" w:hAnsi="Times" w:cs="Times"/>
      <w:noProof/>
      <w:sz w:val="24"/>
      <w:szCs w:val="20"/>
      <w:lang w:eastAsia="en-US"/>
    </w:rPr>
  </w:style>
  <w:style w:type="paragraph" w:styleId="af">
    <w:name w:val="List Paragraph"/>
    <w:basedOn w:val="a"/>
    <w:uiPriority w:val="34"/>
    <w:qFormat/>
    <w:rsid w:val="00FF380F"/>
    <w:pPr>
      <w:ind w:firstLineChars="200" w:firstLine="420"/>
    </w:pPr>
  </w:style>
  <w:style w:type="paragraph" w:styleId="af0">
    <w:name w:val="header"/>
    <w:basedOn w:val="a"/>
    <w:link w:val="af1"/>
    <w:unhideWhenUsed/>
    <w:rsid w:val="00FF380F"/>
    <w:pPr>
      <w:pBdr>
        <w:bottom w:val="single" w:sz="6" w:space="1" w:color="auto"/>
      </w:pBdr>
      <w:tabs>
        <w:tab w:val="center" w:pos="4153"/>
        <w:tab w:val="right" w:pos="8306"/>
      </w:tabs>
      <w:snapToGrid w:val="0"/>
      <w:jc w:val="center"/>
    </w:pPr>
    <w:rPr>
      <w:sz w:val="18"/>
      <w:szCs w:val="18"/>
    </w:rPr>
  </w:style>
  <w:style w:type="character" w:customStyle="1" w:styleId="af1">
    <w:name w:val="页眉 字符"/>
    <w:basedOn w:val="a0"/>
    <w:link w:val="af0"/>
    <w:rsid w:val="00FF380F"/>
    <w:rPr>
      <w:rFonts w:ascii="Times" w:hAnsi="Times" w:cs="Times New Roman"/>
      <w:sz w:val="18"/>
      <w:szCs w:val="18"/>
      <w:lang w:eastAsia="en-US"/>
    </w:rPr>
  </w:style>
  <w:style w:type="character" w:styleId="af2">
    <w:name w:val="Unresolved Mention"/>
    <w:basedOn w:val="a0"/>
    <w:uiPriority w:val="99"/>
    <w:semiHidden/>
    <w:unhideWhenUsed/>
    <w:rsid w:val="00FF380F"/>
    <w:rPr>
      <w:color w:val="605E5C"/>
      <w:shd w:val="clear" w:color="auto" w:fill="E1DFDD"/>
    </w:rPr>
  </w:style>
  <w:style w:type="paragraph" w:styleId="af3">
    <w:name w:val="Revision"/>
    <w:hidden/>
    <w:uiPriority w:val="99"/>
    <w:semiHidden/>
    <w:rsid w:val="00FF380F"/>
    <w:pPr>
      <w:spacing w:after="0" w:line="240" w:lineRule="auto"/>
    </w:pPr>
    <w:rPr>
      <w:rFonts w:ascii="Times" w:hAnsi="Times" w:cs="Times New Roman"/>
      <w:sz w:val="24"/>
      <w:szCs w:val="20"/>
      <w:lang w:eastAsia="en-US"/>
    </w:rPr>
  </w:style>
  <w:style w:type="character" w:styleId="af4">
    <w:name w:val="annotation reference"/>
    <w:basedOn w:val="a0"/>
    <w:semiHidden/>
    <w:unhideWhenUsed/>
    <w:rsid w:val="00FF380F"/>
    <w:rPr>
      <w:sz w:val="16"/>
      <w:szCs w:val="16"/>
    </w:rPr>
  </w:style>
  <w:style w:type="paragraph" w:styleId="af5">
    <w:name w:val="annotation text"/>
    <w:basedOn w:val="a"/>
    <w:link w:val="af6"/>
    <w:unhideWhenUsed/>
    <w:rsid w:val="00FF380F"/>
    <w:rPr>
      <w:sz w:val="20"/>
    </w:rPr>
  </w:style>
  <w:style w:type="character" w:customStyle="1" w:styleId="af6">
    <w:name w:val="批注文字 字符"/>
    <w:basedOn w:val="a0"/>
    <w:link w:val="af5"/>
    <w:rsid w:val="00FF380F"/>
    <w:rPr>
      <w:rFonts w:ascii="Times" w:hAnsi="Times" w:cs="Times New Roman"/>
      <w:sz w:val="20"/>
      <w:szCs w:val="20"/>
      <w:lang w:eastAsia="en-US"/>
    </w:rPr>
  </w:style>
  <w:style w:type="paragraph" w:styleId="af7">
    <w:name w:val="annotation subject"/>
    <w:basedOn w:val="af5"/>
    <w:next w:val="af5"/>
    <w:link w:val="af8"/>
    <w:semiHidden/>
    <w:unhideWhenUsed/>
    <w:rsid w:val="00FF380F"/>
    <w:rPr>
      <w:b/>
      <w:bCs/>
    </w:rPr>
  </w:style>
  <w:style w:type="character" w:customStyle="1" w:styleId="af8">
    <w:name w:val="批注主题 字符"/>
    <w:basedOn w:val="af6"/>
    <w:link w:val="af7"/>
    <w:semiHidden/>
    <w:rsid w:val="00FF380F"/>
    <w:rPr>
      <w:rFonts w:ascii="Times" w:hAnsi="Times" w:cs="Times New Roman"/>
      <w:b/>
      <w:bCs/>
      <w:sz w:val="20"/>
      <w:szCs w:val="20"/>
      <w:lang w:eastAsia="en-US"/>
    </w:rPr>
  </w:style>
  <w:style w:type="character" w:styleId="af9">
    <w:name w:val="line number"/>
    <w:basedOn w:val="a0"/>
    <w:uiPriority w:val="99"/>
    <w:semiHidden/>
    <w:unhideWhenUsed/>
    <w:rsid w:val="005619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mailto:p.carloni@fz-juelich.de"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33</Pages>
  <Words>7042</Words>
  <Characters>40140</Characters>
  <Application>Microsoft Office Word</Application>
  <DocSecurity>0</DocSecurity>
  <Lines>334</Lines>
  <Paragraphs>94</Paragraphs>
  <ScaleCrop>false</ScaleCrop>
  <Company/>
  <LinksUpToDate>false</LinksUpToDate>
  <CharactersWithSpaces>47088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Zuo Ke</dc:creator>
  <cp:keywords/>
  <dc:description/>
  <cp:lastModifiedBy>Zuo Ke</cp:lastModifiedBy>
  <cp:revision>7</cp:revision>
  <dcterms:created xsi:type="dcterms:W3CDTF">2022-11-16T16:38:00Z</dcterms:created>
  <dcterms:modified xsi:type="dcterms:W3CDTF">2022-11-17T13:13:00Z</dcterms:modified>
</cp:coreProperties>
</file>